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7103" w:rsidRDefault="00CD7103" w:rsidP="00CD7103">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УТВЕРЖДЕНА</w:t>
      </w:r>
    </w:p>
    <w:p w:rsidR="00CD7103" w:rsidRDefault="00CD7103" w:rsidP="00CD7103">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Постановлением</w:t>
      </w:r>
    </w:p>
    <w:p w:rsidR="00CD7103" w:rsidRDefault="00CD7103" w:rsidP="00CD7103">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администрации города</w:t>
      </w:r>
    </w:p>
    <w:p w:rsidR="00CD7103" w:rsidRDefault="00CD7103" w:rsidP="00CD7103">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Комсомольска-на-Амуре</w:t>
      </w:r>
    </w:p>
    <w:p w:rsidR="00CD7103" w:rsidRDefault="00CD7103" w:rsidP="00CD7103">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от 11 сентября 2019 г. №</w:t>
      </w:r>
      <w:r>
        <w:rPr>
          <w:rFonts w:ascii="Times New Roman" w:hAnsi="Times New Roman" w:cs="Times New Roman"/>
          <w:sz w:val="28"/>
          <w:szCs w:val="28"/>
        </w:rPr>
        <w:t xml:space="preserve"> 1958-па</w:t>
      </w:r>
    </w:p>
    <w:p w:rsidR="00CD7103" w:rsidRDefault="00CD7103" w:rsidP="00CD7103">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(в ред. от 09.03.2021 № 380-па)</w:t>
      </w:r>
    </w:p>
    <w:p w:rsidR="00CD7103" w:rsidRDefault="00CD7103" w:rsidP="00CD7103">
      <w:pPr>
        <w:autoSpaceDE w:val="0"/>
        <w:autoSpaceDN w:val="0"/>
        <w:adjustRightInd w:val="0"/>
        <w:spacing w:after="0" w:line="240" w:lineRule="auto"/>
        <w:jc w:val="both"/>
        <w:rPr>
          <w:rFonts w:ascii="Times New Roman" w:hAnsi="Times New Roman" w:cs="Times New Roman"/>
          <w:sz w:val="28"/>
          <w:szCs w:val="28"/>
        </w:rPr>
      </w:pPr>
    </w:p>
    <w:p w:rsidR="00CD7103" w:rsidRDefault="00CD7103" w:rsidP="00CD7103">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МУНИЦИПАЛЬНАЯ ПРОГРАММА</w:t>
      </w:r>
    </w:p>
    <w:p w:rsidR="00CD7103" w:rsidRDefault="00CD7103" w:rsidP="00CD7103">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w:t>
      </w:r>
      <w:r>
        <w:rPr>
          <w:rFonts w:ascii="Times New Roman" w:hAnsi="Times New Roman" w:cs="Times New Roman"/>
          <w:b/>
          <w:bCs/>
          <w:sz w:val="28"/>
          <w:szCs w:val="28"/>
        </w:rPr>
        <w:t>СОДЕЙСТВИЕ РАЗВИТИЮ И ПОДДЕРЖКА ОБЩЕСТВЕННЫХ ОБЪЕДИНЕНИЙ,</w:t>
      </w:r>
      <w:r>
        <w:rPr>
          <w:rFonts w:ascii="Times New Roman" w:hAnsi="Times New Roman" w:cs="Times New Roman"/>
          <w:b/>
          <w:bCs/>
          <w:sz w:val="28"/>
          <w:szCs w:val="28"/>
        </w:rPr>
        <w:t xml:space="preserve"> </w:t>
      </w:r>
      <w:r>
        <w:rPr>
          <w:rFonts w:ascii="Times New Roman" w:hAnsi="Times New Roman" w:cs="Times New Roman"/>
          <w:b/>
          <w:bCs/>
          <w:sz w:val="28"/>
          <w:szCs w:val="28"/>
        </w:rPr>
        <w:t>НЕКОММЕРЧЕСКИХ ОРГАНИЗАЦИЙ И ИНИЦИАТИВ ГРАЖДАНСКОГО ОБЩЕСТВА</w:t>
      </w:r>
    </w:p>
    <w:p w:rsidR="00CD7103" w:rsidRDefault="00CD7103" w:rsidP="00CD7103">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В ГОРОДЕ КОМСОМОЛЬСКЕ-НА-АМУРЕ</w:t>
      </w:r>
      <w:r>
        <w:rPr>
          <w:rFonts w:ascii="Times New Roman" w:hAnsi="Times New Roman" w:cs="Times New Roman"/>
          <w:b/>
          <w:bCs/>
          <w:sz w:val="28"/>
          <w:szCs w:val="28"/>
        </w:rPr>
        <w:t>»</w:t>
      </w:r>
    </w:p>
    <w:p w:rsidR="00CD7103" w:rsidRDefault="00CD7103" w:rsidP="00CD7103">
      <w:pPr>
        <w:autoSpaceDE w:val="0"/>
        <w:autoSpaceDN w:val="0"/>
        <w:adjustRightInd w:val="0"/>
        <w:spacing w:after="0" w:line="240" w:lineRule="auto"/>
        <w:rPr>
          <w:rFonts w:ascii="Times New Roman" w:hAnsi="Times New Roman" w:cs="Times New Roman"/>
          <w:sz w:val="24"/>
          <w:szCs w:val="24"/>
        </w:rPr>
      </w:pPr>
    </w:p>
    <w:p w:rsidR="00CD7103" w:rsidRDefault="00CD7103" w:rsidP="00CD7103">
      <w:pPr>
        <w:autoSpaceDE w:val="0"/>
        <w:autoSpaceDN w:val="0"/>
        <w:adjustRightInd w:val="0"/>
        <w:spacing w:after="0" w:line="240" w:lineRule="auto"/>
        <w:jc w:val="both"/>
        <w:rPr>
          <w:rFonts w:ascii="Times New Roman" w:hAnsi="Times New Roman" w:cs="Times New Roman"/>
          <w:sz w:val="28"/>
          <w:szCs w:val="28"/>
        </w:rPr>
      </w:pPr>
    </w:p>
    <w:p w:rsidR="00CD7103" w:rsidRDefault="00CD7103" w:rsidP="00CD7103">
      <w:pPr>
        <w:autoSpaceDE w:val="0"/>
        <w:autoSpaceDN w:val="0"/>
        <w:adjustRightInd w:val="0"/>
        <w:spacing w:after="0" w:line="240" w:lineRule="auto"/>
        <w:jc w:val="center"/>
        <w:outlineLvl w:val="1"/>
        <w:rPr>
          <w:rFonts w:ascii="Times New Roman" w:hAnsi="Times New Roman" w:cs="Times New Roman"/>
          <w:b/>
          <w:bCs/>
          <w:sz w:val="28"/>
          <w:szCs w:val="28"/>
        </w:rPr>
      </w:pPr>
      <w:r>
        <w:rPr>
          <w:rFonts w:ascii="Times New Roman" w:hAnsi="Times New Roman" w:cs="Times New Roman"/>
          <w:b/>
          <w:bCs/>
          <w:sz w:val="28"/>
          <w:szCs w:val="28"/>
        </w:rPr>
        <w:t>ПАСПОРТ</w:t>
      </w:r>
    </w:p>
    <w:p w:rsidR="00CD7103" w:rsidRDefault="00CD7103" w:rsidP="00CD7103">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муниципальной программы</w:t>
      </w:r>
    </w:p>
    <w:p w:rsidR="00CD7103" w:rsidRDefault="00CD7103" w:rsidP="00CD7103">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w:t>
      </w:r>
      <w:r>
        <w:rPr>
          <w:rFonts w:ascii="Times New Roman" w:hAnsi="Times New Roman" w:cs="Times New Roman"/>
          <w:b/>
          <w:bCs/>
          <w:sz w:val="28"/>
          <w:szCs w:val="28"/>
        </w:rPr>
        <w:t>Содействие развитию и поддержка общественных объединений,</w:t>
      </w:r>
    </w:p>
    <w:p w:rsidR="00CD7103" w:rsidRDefault="00CD7103" w:rsidP="00CD7103">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некоммерческих организаций и инициатив гражданского общества</w:t>
      </w:r>
    </w:p>
    <w:p w:rsidR="00CD7103" w:rsidRDefault="00CD7103" w:rsidP="00CD7103">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в городе Комсомольске-на-Амуре</w:t>
      </w:r>
      <w:r>
        <w:rPr>
          <w:rFonts w:ascii="Times New Roman" w:hAnsi="Times New Roman" w:cs="Times New Roman"/>
          <w:b/>
          <w:bCs/>
          <w:sz w:val="28"/>
          <w:szCs w:val="28"/>
        </w:rPr>
        <w:t>»</w:t>
      </w:r>
    </w:p>
    <w:p w:rsidR="00CD7103" w:rsidRDefault="00CD7103" w:rsidP="00CD7103">
      <w:pPr>
        <w:autoSpaceDE w:val="0"/>
        <w:autoSpaceDN w:val="0"/>
        <w:adjustRightInd w:val="0"/>
        <w:spacing w:after="0" w:line="240" w:lineRule="auto"/>
        <w:jc w:val="center"/>
        <w:rPr>
          <w:rFonts w:ascii="Times New Roman" w:hAnsi="Times New Roman" w:cs="Times New Roman"/>
          <w:b/>
          <w:bCs/>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189"/>
        <w:gridCol w:w="7512"/>
      </w:tblGrid>
      <w:tr w:rsidR="00CD7103" w:rsidTr="00CD7103">
        <w:tc>
          <w:tcPr>
            <w:tcW w:w="2189" w:type="dxa"/>
            <w:tcBorders>
              <w:top w:val="single" w:sz="4" w:space="0" w:color="auto"/>
              <w:left w:val="single" w:sz="4" w:space="0" w:color="auto"/>
              <w:bottom w:val="single" w:sz="4" w:space="0" w:color="auto"/>
              <w:right w:val="single" w:sz="4" w:space="0" w:color="auto"/>
            </w:tcBorders>
          </w:tcPr>
          <w:p w:rsidR="00CD7103" w:rsidRDefault="00CD710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Ответственный исполнитель</w:t>
            </w:r>
          </w:p>
        </w:tc>
        <w:tc>
          <w:tcPr>
            <w:tcW w:w="7512" w:type="dxa"/>
            <w:tcBorders>
              <w:top w:val="single" w:sz="4" w:space="0" w:color="auto"/>
              <w:left w:val="single" w:sz="4" w:space="0" w:color="auto"/>
              <w:bottom w:val="single" w:sz="4" w:space="0" w:color="auto"/>
              <w:right w:val="single" w:sz="4" w:space="0" w:color="auto"/>
            </w:tcBorders>
          </w:tcPr>
          <w:p w:rsidR="00CD7103" w:rsidRDefault="00CD710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Организационный отдел администрации города Комсомольска-на-Амуре (далее - организационный отдел администрации города)</w:t>
            </w:r>
          </w:p>
        </w:tc>
      </w:tr>
      <w:tr w:rsidR="00CD7103" w:rsidTr="00CD7103">
        <w:tc>
          <w:tcPr>
            <w:tcW w:w="2189" w:type="dxa"/>
            <w:tcBorders>
              <w:top w:val="single" w:sz="4" w:space="0" w:color="auto"/>
              <w:left w:val="single" w:sz="4" w:space="0" w:color="auto"/>
              <w:bottom w:val="single" w:sz="4" w:space="0" w:color="auto"/>
              <w:right w:val="single" w:sz="4" w:space="0" w:color="auto"/>
            </w:tcBorders>
          </w:tcPr>
          <w:p w:rsidR="00CD7103" w:rsidRDefault="00CD710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Соисполнители, участники</w:t>
            </w:r>
          </w:p>
        </w:tc>
        <w:tc>
          <w:tcPr>
            <w:tcW w:w="7512" w:type="dxa"/>
            <w:tcBorders>
              <w:top w:val="single" w:sz="4" w:space="0" w:color="auto"/>
              <w:left w:val="single" w:sz="4" w:space="0" w:color="auto"/>
              <w:bottom w:val="single" w:sz="4" w:space="0" w:color="auto"/>
              <w:right w:val="single" w:sz="4" w:space="0" w:color="auto"/>
            </w:tcBorders>
          </w:tcPr>
          <w:p w:rsidR="00CD7103" w:rsidRDefault="00CD710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Отраслевые органы администрации города Комсомольска-на-Амуре:</w:t>
            </w:r>
          </w:p>
          <w:p w:rsidR="00CD7103" w:rsidRDefault="00CD710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сектор пресс-службы администрации города Комсомольска-на-Амуре (далее - сектор пресс-службы администрации города);</w:t>
            </w:r>
          </w:p>
          <w:p w:rsidR="00CD7103" w:rsidRDefault="00CD710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отдел по работе с населением администрации города Комсомольска-на-Амуре (далее - отдел по работе с населением администрации города);</w:t>
            </w:r>
          </w:p>
          <w:p w:rsidR="00CD7103" w:rsidRDefault="00CD710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комитет по управлению имуществом администрации города Комсомольска-на-Амуре (далее - комитет по управлению имуществом администрации города).</w:t>
            </w:r>
          </w:p>
        </w:tc>
      </w:tr>
      <w:tr w:rsidR="00CD7103" w:rsidTr="00CD7103">
        <w:tc>
          <w:tcPr>
            <w:tcW w:w="2189" w:type="dxa"/>
            <w:tcBorders>
              <w:top w:val="single" w:sz="4" w:space="0" w:color="auto"/>
              <w:left w:val="single" w:sz="4" w:space="0" w:color="auto"/>
              <w:bottom w:val="single" w:sz="4" w:space="0" w:color="auto"/>
              <w:right w:val="single" w:sz="4" w:space="0" w:color="auto"/>
            </w:tcBorders>
          </w:tcPr>
          <w:p w:rsidR="00CD7103" w:rsidRDefault="00CD710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Цель муниципальной программы</w:t>
            </w:r>
          </w:p>
        </w:tc>
        <w:tc>
          <w:tcPr>
            <w:tcW w:w="7512" w:type="dxa"/>
            <w:tcBorders>
              <w:top w:val="single" w:sz="4" w:space="0" w:color="auto"/>
              <w:left w:val="single" w:sz="4" w:space="0" w:color="auto"/>
              <w:bottom w:val="single" w:sz="4" w:space="0" w:color="auto"/>
              <w:right w:val="single" w:sz="4" w:space="0" w:color="auto"/>
            </w:tcBorders>
          </w:tcPr>
          <w:p w:rsidR="00CD7103" w:rsidRDefault="00CD710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Содействие развитию институтов гражданского общества г. Комсомольска-на-Амуре</w:t>
            </w:r>
          </w:p>
        </w:tc>
      </w:tr>
      <w:tr w:rsidR="00CD7103" w:rsidTr="00CD7103">
        <w:tc>
          <w:tcPr>
            <w:tcW w:w="2189" w:type="dxa"/>
            <w:tcBorders>
              <w:top w:val="single" w:sz="4" w:space="0" w:color="auto"/>
              <w:left w:val="single" w:sz="4" w:space="0" w:color="auto"/>
              <w:bottom w:val="single" w:sz="4" w:space="0" w:color="auto"/>
              <w:right w:val="single" w:sz="4" w:space="0" w:color="auto"/>
            </w:tcBorders>
          </w:tcPr>
          <w:p w:rsidR="00CD7103" w:rsidRDefault="00CD710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Задачи муниципальной программы</w:t>
            </w:r>
          </w:p>
        </w:tc>
        <w:tc>
          <w:tcPr>
            <w:tcW w:w="7512" w:type="dxa"/>
            <w:tcBorders>
              <w:top w:val="single" w:sz="4" w:space="0" w:color="auto"/>
              <w:left w:val="single" w:sz="4" w:space="0" w:color="auto"/>
              <w:bottom w:val="single" w:sz="4" w:space="0" w:color="auto"/>
              <w:right w:val="single" w:sz="4" w:space="0" w:color="auto"/>
            </w:tcBorders>
          </w:tcPr>
          <w:p w:rsidR="00CD7103" w:rsidRDefault="00CD710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формирование условий для развития системы поддержки деятельности институтов гражданского общества;</w:t>
            </w:r>
          </w:p>
          <w:p w:rsidR="00CD7103" w:rsidRDefault="00CD710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развитие общественно-муниципального партнерства;</w:t>
            </w:r>
          </w:p>
          <w:p w:rsidR="00CD7103" w:rsidRDefault="00CD710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обеспечение условий эффективного функционирования институтов гражданского общества посредством оказания </w:t>
            </w:r>
            <w:r>
              <w:rPr>
                <w:rFonts w:ascii="Times New Roman" w:hAnsi="Times New Roman" w:cs="Times New Roman"/>
                <w:sz w:val="28"/>
                <w:szCs w:val="28"/>
              </w:rPr>
              <w:lastRenderedPageBreak/>
              <w:t>муниципальной поддержки;</w:t>
            </w:r>
          </w:p>
          <w:p w:rsidR="00CD7103" w:rsidRDefault="00CD710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вовлечение населения в решение вопросов местного значения города Комсомольска-на-Амуре.</w:t>
            </w:r>
          </w:p>
        </w:tc>
      </w:tr>
      <w:tr w:rsidR="00CD7103" w:rsidTr="00CD7103">
        <w:tc>
          <w:tcPr>
            <w:tcW w:w="2189" w:type="dxa"/>
            <w:tcBorders>
              <w:top w:val="single" w:sz="4" w:space="0" w:color="auto"/>
              <w:left w:val="single" w:sz="4" w:space="0" w:color="auto"/>
              <w:bottom w:val="single" w:sz="4" w:space="0" w:color="auto"/>
              <w:right w:val="single" w:sz="4" w:space="0" w:color="auto"/>
            </w:tcBorders>
          </w:tcPr>
          <w:p w:rsidR="00CD7103" w:rsidRDefault="00CD710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Подпрограммы</w:t>
            </w:r>
          </w:p>
        </w:tc>
        <w:tc>
          <w:tcPr>
            <w:tcW w:w="7512" w:type="dxa"/>
            <w:tcBorders>
              <w:top w:val="single" w:sz="4" w:space="0" w:color="auto"/>
              <w:left w:val="single" w:sz="4" w:space="0" w:color="auto"/>
              <w:bottom w:val="single" w:sz="4" w:space="0" w:color="auto"/>
              <w:right w:val="single" w:sz="4" w:space="0" w:color="auto"/>
            </w:tcBorders>
          </w:tcPr>
          <w:p w:rsidR="00CD7103" w:rsidRDefault="00CD710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Не предусмотрены</w:t>
            </w:r>
          </w:p>
        </w:tc>
      </w:tr>
      <w:tr w:rsidR="00CD7103" w:rsidTr="00CD7103">
        <w:tc>
          <w:tcPr>
            <w:tcW w:w="2189" w:type="dxa"/>
            <w:tcBorders>
              <w:top w:val="single" w:sz="4" w:space="0" w:color="auto"/>
              <w:left w:val="single" w:sz="4" w:space="0" w:color="auto"/>
              <w:bottom w:val="single" w:sz="4" w:space="0" w:color="auto"/>
              <w:right w:val="single" w:sz="4" w:space="0" w:color="auto"/>
            </w:tcBorders>
          </w:tcPr>
          <w:p w:rsidR="00CD7103" w:rsidRDefault="00CD710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Основные мероприятия муниципальной программы</w:t>
            </w:r>
          </w:p>
        </w:tc>
        <w:tc>
          <w:tcPr>
            <w:tcW w:w="7512" w:type="dxa"/>
            <w:tcBorders>
              <w:top w:val="single" w:sz="4" w:space="0" w:color="auto"/>
              <w:left w:val="single" w:sz="4" w:space="0" w:color="auto"/>
              <w:bottom w:val="single" w:sz="4" w:space="0" w:color="auto"/>
              <w:right w:val="single" w:sz="4" w:space="0" w:color="auto"/>
            </w:tcBorders>
          </w:tcPr>
          <w:p w:rsidR="00CD7103" w:rsidRDefault="00CD710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методическое и организационное сопровождение системы поддержки деятельности институтов гражданского общества;</w:t>
            </w:r>
          </w:p>
          <w:p w:rsidR="00CD7103" w:rsidRDefault="00CD710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формирование механизмов взаимодействия администрации города и институтов гражданского общества;</w:t>
            </w:r>
          </w:p>
          <w:p w:rsidR="00CD7103" w:rsidRDefault="00CD710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предоставление муниципальной поддержки общественным объединениям, некоммерческим организациям (далее - НКО), поддержка инициатив гражданского общества;</w:t>
            </w:r>
          </w:p>
          <w:p w:rsidR="00CD7103" w:rsidRDefault="00CD710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формирование условий для участия населения в решении вопросов местного значения.</w:t>
            </w:r>
          </w:p>
        </w:tc>
      </w:tr>
      <w:tr w:rsidR="00CD7103" w:rsidTr="00CD7103">
        <w:tc>
          <w:tcPr>
            <w:tcW w:w="2189" w:type="dxa"/>
            <w:tcBorders>
              <w:top w:val="single" w:sz="4" w:space="0" w:color="auto"/>
              <w:left w:val="single" w:sz="4" w:space="0" w:color="auto"/>
              <w:bottom w:val="single" w:sz="4" w:space="0" w:color="auto"/>
              <w:right w:val="single" w:sz="4" w:space="0" w:color="auto"/>
            </w:tcBorders>
          </w:tcPr>
          <w:p w:rsidR="00CD7103" w:rsidRDefault="00CD710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Основные показатели (индикаторы)</w:t>
            </w:r>
          </w:p>
        </w:tc>
        <w:tc>
          <w:tcPr>
            <w:tcW w:w="7512" w:type="dxa"/>
            <w:tcBorders>
              <w:top w:val="single" w:sz="4" w:space="0" w:color="auto"/>
              <w:left w:val="single" w:sz="4" w:space="0" w:color="auto"/>
              <w:bottom w:val="single" w:sz="4" w:space="0" w:color="auto"/>
              <w:right w:val="single" w:sz="4" w:space="0" w:color="auto"/>
            </w:tcBorders>
          </w:tcPr>
          <w:p w:rsidR="00CD7103" w:rsidRDefault="00CD710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количество вновь зарегистрированных НКО;</w:t>
            </w:r>
          </w:p>
          <w:p w:rsidR="00CD7103" w:rsidRDefault="00CD710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количество граждан, вовлеченных в деятельность территориального общественного самоуправления (далее - ТОС).</w:t>
            </w:r>
          </w:p>
        </w:tc>
      </w:tr>
      <w:tr w:rsidR="00CD7103" w:rsidTr="00CD7103">
        <w:tc>
          <w:tcPr>
            <w:tcW w:w="2189" w:type="dxa"/>
            <w:tcBorders>
              <w:top w:val="single" w:sz="4" w:space="0" w:color="auto"/>
              <w:left w:val="single" w:sz="4" w:space="0" w:color="auto"/>
              <w:bottom w:val="single" w:sz="4" w:space="0" w:color="auto"/>
              <w:right w:val="single" w:sz="4" w:space="0" w:color="auto"/>
            </w:tcBorders>
          </w:tcPr>
          <w:p w:rsidR="00CD7103" w:rsidRDefault="00CD710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Сроки и этапы реализации муниципальной программы</w:t>
            </w:r>
          </w:p>
        </w:tc>
        <w:tc>
          <w:tcPr>
            <w:tcW w:w="7512" w:type="dxa"/>
            <w:tcBorders>
              <w:top w:val="single" w:sz="4" w:space="0" w:color="auto"/>
              <w:left w:val="single" w:sz="4" w:space="0" w:color="auto"/>
              <w:bottom w:val="single" w:sz="4" w:space="0" w:color="auto"/>
              <w:right w:val="single" w:sz="4" w:space="0" w:color="auto"/>
            </w:tcBorders>
          </w:tcPr>
          <w:p w:rsidR="00CD7103" w:rsidRDefault="00CD710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Программа реализуется в один этап в 2020 - 2024 годы</w:t>
            </w:r>
          </w:p>
        </w:tc>
      </w:tr>
      <w:tr w:rsidR="00CD7103" w:rsidTr="00CD7103">
        <w:tc>
          <w:tcPr>
            <w:tcW w:w="2189" w:type="dxa"/>
            <w:tcBorders>
              <w:top w:val="single" w:sz="4" w:space="0" w:color="auto"/>
              <w:left w:val="single" w:sz="4" w:space="0" w:color="auto"/>
              <w:bottom w:val="single" w:sz="4" w:space="0" w:color="auto"/>
              <w:right w:val="single" w:sz="4" w:space="0" w:color="auto"/>
            </w:tcBorders>
          </w:tcPr>
          <w:p w:rsidR="00CD7103" w:rsidRDefault="00CD710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Ресурсное обеспечение реализации муниципальной программы за счет средств местного бюджета и прогнозная (справочная) оценка расходов краевого бюджета</w:t>
            </w:r>
          </w:p>
        </w:tc>
        <w:tc>
          <w:tcPr>
            <w:tcW w:w="7512" w:type="dxa"/>
            <w:tcBorders>
              <w:top w:val="single" w:sz="4" w:space="0" w:color="auto"/>
              <w:left w:val="single" w:sz="4" w:space="0" w:color="auto"/>
              <w:bottom w:val="single" w:sz="4" w:space="0" w:color="auto"/>
              <w:right w:val="single" w:sz="4" w:space="0" w:color="auto"/>
            </w:tcBorders>
          </w:tcPr>
          <w:p w:rsidR="00CD7103" w:rsidRDefault="00CD710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Общий объем финансирования на реализацию Программы составляет 26 039,30 тыс. руб., из них:</w:t>
            </w:r>
          </w:p>
          <w:p w:rsidR="00CD7103" w:rsidRDefault="00CD710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в 2020 году - 3 999,30 тыс. руб.;</w:t>
            </w:r>
          </w:p>
          <w:p w:rsidR="00CD7103" w:rsidRDefault="00CD710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в 2021 году - 5 510,00 тыс. руб.;</w:t>
            </w:r>
          </w:p>
          <w:p w:rsidR="00CD7103" w:rsidRDefault="00CD710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в 2022 году - 5 510,00 тыс. руб.;</w:t>
            </w:r>
          </w:p>
          <w:p w:rsidR="00CD7103" w:rsidRDefault="00CD710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в 2023 году - 5 510,00 тыс. руб.;</w:t>
            </w:r>
          </w:p>
          <w:p w:rsidR="00CD7103" w:rsidRDefault="00CD710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в 2024 году - 5 510,00 тыс. руб.</w:t>
            </w:r>
          </w:p>
          <w:p w:rsidR="00CD7103" w:rsidRDefault="00CD710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Объем средств местного бюджета на реализацию Программы составляет 2 371,32 тыс. руб., из них:</w:t>
            </w:r>
          </w:p>
          <w:p w:rsidR="00CD7103" w:rsidRDefault="00CD710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в 2020 году - 771,32 тыс. руб.;</w:t>
            </w:r>
          </w:p>
          <w:p w:rsidR="00CD7103" w:rsidRDefault="00CD710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в 2021 году - 400,00 тыс. руб.;</w:t>
            </w:r>
          </w:p>
          <w:p w:rsidR="00CD7103" w:rsidRDefault="00CD710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в 2022 году - 400,00 тыс. руб.;</w:t>
            </w:r>
          </w:p>
          <w:p w:rsidR="00CD7103" w:rsidRDefault="00CD710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в 2023 году - 400,00 тыс. руб.;</w:t>
            </w:r>
          </w:p>
          <w:p w:rsidR="00CD7103" w:rsidRDefault="00CD710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в 2024 году - 400,00 тыс. руб.</w:t>
            </w:r>
          </w:p>
          <w:p w:rsidR="00CD7103" w:rsidRDefault="00CD710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Объем средств краевого бюджета (по согласованию) на реализацию Программы составляет 23 667,98 тыс. руб., из них:</w:t>
            </w:r>
          </w:p>
          <w:p w:rsidR="00CD7103" w:rsidRDefault="00CD710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в 2020 году - 3 227,98 тыс. руб.;</w:t>
            </w:r>
          </w:p>
          <w:p w:rsidR="00CD7103" w:rsidRDefault="00CD710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в 2021 году - 5 110,00 тыс. руб.;</w:t>
            </w:r>
          </w:p>
          <w:p w:rsidR="00CD7103" w:rsidRDefault="00CD710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в 2022 году - 5 110,00 тыс. руб.;</w:t>
            </w:r>
          </w:p>
          <w:p w:rsidR="00CD7103" w:rsidRDefault="00CD710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в 2023 году - 5 110,00 тыс. руб.;</w:t>
            </w:r>
          </w:p>
          <w:p w:rsidR="00CD7103" w:rsidRDefault="00CD710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в 2024 году - 5 110,00 тыс. руб.</w:t>
            </w:r>
          </w:p>
        </w:tc>
      </w:tr>
      <w:tr w:rsidR="00CD7103" w:rsidTr="00CD7103">
        <w:tc>
          <w:tcPr>
            <w:tcW w:w="2189" w:type="dxa"/>
            <w:tcBorders>
              <w:top w:val="single" w:sz="4" w:space="0" w:color="auto"/>
              <w:left w:val="single" w:sz="4" w:space="0" w:color="auto"/>
              <w:bottom w:val="single" w:sz="4" w:space="0" w:color="auto"/>
              <w:right w:val="single" w:sz="4" w:space="0" w:color="auto"/>
            </w:tcBorders>
          </w:tcPr>
          <w:p w:rsidR="00CD7103" w:rsidRDefault="00CD710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Конечный результат реализации муниципальной программы</w:t>
            </w:r>
          </w:p>
        </w:tc>
        <w:tc>
          <w:tcPr>
            <w:tcW w:w="7512" w:type="dxa"/>
            <w:tcBorders>
              <w:top w:val="single" w:sz="4" w:space="0" w:color="auto"/>
              <w:left w:val="single" w:sz="4" w:space="0" w:color="auto"/>
              <w:bottom w:val="single" w:sz="4" w:space="0" w:color="auto"/>
              <w:right w:val="single" w:sz="4" w:space="0" w:color="auto"/>
            </w:tcBorders>
          </w:tcPr>
          <w:p w:rsidR="00CD7103" w:rsidRDefault="00CD710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увеличение количества НКО на 114 единиц;</w:t>
            </w:r>
          </w:p>
          <w:p w:rsidR="00CD7103" w:rsidRDefault="00CD710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увеличение количества граждан, вовлеченных в деятельность ТОС, на 22 011 человек;</w:t>
            </w:r>
          </w:p>
          <w:p w:rsidR="00CD7103" w:rsidRDefault="00CD710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сохранение ежегодного количества социально ориентированных некоммерческих организаций (далее - СОНКО), ставших получателями финансовой поддержки и включенных в муниципальный реестр СОНКО - получателей поддержки на уровне не менее 8 организаций;</w:t>
            </w:r>
          </w:p>
          <w:p w:rsidR="00CD7103" w:rsidRDefault="00CD710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оказание ежегодной имущественной поддержки СОНКО путем передачи в пользование муниципального имущества на уровне не менее 20 организаций;</w:t>
            </w:r>
          </w:p>
          <w:p w:rsidR="00CD7103" w:rsidRDefault="00CD710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организация и проведение ежегодного муниципального конкурса социально значимых инициатив;</w:t>
            </w:r>
          </w:p>
          <w:p w:rsidR="00CD7103" w:rsidRDefault="00CD710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увеличение количества проведенных круглых столов, семинаров для представителей общественности до 27 мероприятий;</w:t>
            </w:r>
          </w:p>
          <w:p w:rsidR="00CD7103" w:rsidRDefault="00CD710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сохранение ежегодного количества активистов ТОС и граждан, активно участвующих в осуществлении местного самоуправления на территории городского округа, получивших денежное поощрение от администрации города, на уровне не менее 30 человек;</w:t>
            </w:r>
          </w:p>
          <w:p w:rsidR="00CD7103" w:rsidRDefault="00CD710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увеличение количества информационных материалов, опубликованных на информационных ресурсах, посвященных социально значимой деятельности общественных объединений, НКО и вопросам развития инициатив гражданского общества до 115 материалов;</w:t>
            </w:r>
          </w:p>
          <w:p w:rsidR="00CD7103" w:rsidRDefault="00CD710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количество проведенных заседаний Координационного совета по развитию и поддержке инициатив гражданского общества при администрации города Комсомольска-на-Амуре и Общественного совета города Комсомольск-на-Амуре не менее 6 ежегодно.</w:t>
            </w:r>
          </w:p>
        </w:tc>
      </w:tr>
    </w:tbl>
    <w:p w:rsidR="00CD7103" w:rsidRDefault="00CD7103" w:rsidP="00CD7103">
      <w:pPr>
        <w:autoSpaceDE w:val="0"/>
        <w:autoSpaceDN w:val="0"/>
        <w:adjustRightInd w:val="0"/>
        <w:spacing w:after="0" w:line="240" w:lineRule="auto"/>
        <w:jc w:val="both"/>
        <w:rPr>
          <w:rFonts w:ascii="Times New Roman" w:hAnsi="Times New Roman" w:cs="Times New Roman"/>
          <w:sz w:val="28"/>
          <w:szCs w:val="28"/>
        </w:rPr>
      </w:pPr>
    </w:p>
    <w:p w:rsidR="00CD7103" w:rsidRDefault="00CD7103" w:rsidP="00CD7103">
      <w:pPr>
        <w:autoSpaceDE w:val="0"/>
        <w:autoSpaceDN w:val="0"/>
        <w:adjustRightInd w:val="0"/>
        <w:spacing w:after="0" w:line="240" w:lineRule="auto"/>
        <w:ind w:firstLine="709"/>
        <w:jc w:val="center"/>
        <w:outlineLvl w:val="1"/>
        <w:rPr>
          <w:rFonts w:ascii="Times New Roman" w:hAnsi="Times New Roman" w:cs="Times New Roman"/>
          <w:b/>
          <w:bCs/>
          <w:sz w:val="28"/>
          <w:szCs w:val="28"/>
        </w:rPr>
      </w:pPr>
      <w:r>
        <w:rPr>
          <w:rFonts w:ascii="Times New Roman" w:hAnsi="Times New Roman" w:cs="Times New Roman"/>
          <w:b/>
          <w:bCs/>
          <w:sz w:val="28"/>
          <w:szCs w:val="28"/>
        </w:rPr>
        <w:t>1. Общая характеристика текущего состояния развития</w:t>
      </w:r>
    </w:p>
    <w:p w:rsidR="00CD7103" w:rsidRDefault="00CD7103" w:rsidP="00CD7103">
      <w:pPr>
        <w:autoSpaceDE w:val="0"/>
        <w:autoSpaceDN w:val="0"/>
        <w:adjustRightInd w:val="0"/>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гражданского общества</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Настоящая муниципальная программа </w:t>
      </w:r>
      <w:r>
        <w:rPr>
          <w:rFonts w:ascii="Times New Roman" w:hAnsi="Times New Roman" w:cs="Times New Roman"/>
          <w:sz w:val="28"/>
          <w:szCs w:val="28"/>
        </w:rPr>
        <w:t>«</w:t>
      </w:r>
      <w:r>
        <w:rPr>
          <w:rFonts w:ascii="Times New Roman" w:hAnsi="Times New Roman" w:cs="Times New Roman"/>
          <w:sz w:val="28"/>
          <w:szCs w:val="28"/>
        </w:rPr>
        <w:t xml:space="preserve">Содействие развитию и поддержка общественных объединений, некоммерческих организаций и инициатив гражданского общества в муниципальном образовании город Комсомольск-на-Амуре разработана в соответствии со </w:t>
      </w:r>
      <w:hyperlink r:id="rId7" w:history="1">
        <w:r>
          <w:rPr>
            <w:rFonts w:ascii="Times New Roman" w:hAnsi="Times New Roman" w:cs="Times New Roman"/>
            <w:color w:val="0000FF"/>
            <w:sz w:val="28"/>
            <w:szCs w:val="28"/>
          </w:rPr>
          <w:t>статьей 16</w:t>
        </w:r>
      </w:hyperlink>
      <w:r>
        <w:rPr>
          <w:rFonts w:ascii="Times New Roman" w:hAnsi="Times New Roman" w:cs="Times New Roman"/>
          <w:sz w:val="28"/>
          <w:szCs w:val="28"/>
        </w:rPr>
        <w:t xml:space="preserve"> Федерального закона </w:t>
      </w:r>
      <w:r>
        <w:rPr>
          <w:rFonts w:ascii="Times New Roman" w:hAnsi="Times New Roman" w:cs="Times New Roman"/>
          <w:sz w:val="28"/>
          <w:szCs w:val="28"/>
        </w:rPr>
        <w:t>«</w:t>
      </w:r>
      <w:r>
        <w:rPr>
          <w:rFonts w:ascii="Times New Roman" w:hAnsi="Times New Roman" w:cs="Times New Roman"/>
          <w:sz w:val="28"/>
          <w:szCs w:val="28"/>
        </w:rPr>
        <w:t xml:space="preserve">Об общих принципах организации местного самоуправления в </w:t>
      </w:r>
      <w:r>
        <w:rPr>
          <w:rFonts w:ascii="Times New Roman" w:hAnsi="Times New Roman" w:cs="Times New Roman"/>
          <w:sz w:val="28"/>
          <w:szCs w:val="28"/>
        </w:rPr>
        <w:lastRenderedPageBreak/>
        <w:t>Российской Федерации</w:t>
      </w:r>
      <w:r>
        <w:rPr>
          <w:rFonts w:ascii="Times New Roman" w:hAnsi="Times New Roman" w:cs="Times New Roman"/>
          <w:sz w:val="28"/>
          <w:szCs w:val="28"/>
        </w:rPr>
        <w:t>»</w:t>
      </w:r>
      <w:r>
        <w:rPr>
          <w:rFonts w:ascii="Times New Roman" w:hAnsi="Times New Roman" w:cs="Times New Roman"/>
          <w:sz w:val="28"/>
          <w:szCs w:val="28"/>
        </w:rPr>
        <w:t xml:space="preserve"> от 06 октября 2003 г. N 131-ФЗ, со </w:t>
      </w:r>
      <w:hyperlink r:id="rId8" w:history="1">
        <w:r>
          <w:rPr>
            <w:rFonts w:ascii="Times New Roman" w:hAnsi="Times New Roman" w:cs="Times New Roman"/>
            <w:color w:val="0000FF"/>
            <w:sz w:val="28"/>
            <w:szCs w:val="28"/>
          </w:rPr>
          <w:t>статьями 31</w:t>
        </w:r>
      </w:hyperlink>
      <w:r>
        <w:rPr>
          <w:rFonts w:ascii="Times New Roman" w:hAnsi="Times New Roman" w:cs="Times New Roman"/>
          <w:sz w:val="28"/>
          <w:szCs w:val="28"/>
        </w:rPr>
        <w:t xml:space="preserve"> - </w:t>
      </w:r>
      <w:hyperlink r:id="rId9" w:history="1">
        <w:r>
          <w:rPr>
            <w:rFonts w:ascii="Times New Roman" w:hAnsi="Times New Roman" w:cs="Times New Roman"/>
            <w:color w:val="0000FF"/>
            <w:sz w:val="28"/>
            <w:szCs w:val="28"/>
          </w:rPr>
          <w:t>31.3</w:t>
        </w:r>
      </w:hyperlink>
      <w:r>
        <w:rPr>
          <w:rFonts w:ascii="Times New Roman" w:hAnsi="Times New Roman" w:cs="Times New Roman"/>
          <w:sz w:val="28"/>
          <w:szCs w:val="28"/>
        </w:rPr>
        <w:t xml:space="preserve"> Федерального закона </w:t>
      </w:r>
      <w:r>
        <w:rPr>
          <w:rFonts w:ascii="Times New Roman" w:hAnsi="Times New Roman" w:cs="Times New Roman"/>
          <w:sz w:val="28"/>
          <w:szCs w:val="28"/>
        </w:rPr>
        <w:t>«</w:t>
      </w:r>
      <w:r>
        <w:rPr>
          <w:rFonts w:ascii="Times New Roman" w:hAnsi="Times New Roman" w:cs="Times New Roman"/>
          <w:sz w:val="28"/>
          <w:szCs w:val="28"/>
        </w:rPr>
        <w:t>О некоммерческих организациях</w:t>
      </w:r>
      <w:r>
        <w:rPr>
          <w:rFonts w:ascii="Times New Roman" w:hAnsi="Times New Roman" w:cs="Times New Roman"/>
          <w:sz w:val="28"/>
          <w:szCs w:val="28"/>
        </w:rPr>
        <w:t>»</w:t>
      </w:r>
      <w:r>
        <w:rPr>
          <w:rFonts w:ascii="Times New Roman" w:hAnsi="Times New Roman" w:cs="Times New Roman"/>
          <w:sz w:val="28"/>
          <w:szCs w:val="28"/>
        </w:rPr>
        <w:t xml:space="preserve"> от 12 января 1996 г. N 7-ФЗ, направлена на реализацию положений </w:t>
      </w:r>
      <w:hyperlink r:id="rId10" w:history="1">
        <w:r>
          <w:rPr>
            <w:rFonts w:ascii="Times New Roman" w:hAnsi="Times New Roman" w:cs="Times New Roman"/>
            <w:color w:val="0000FF"/>
            <w:sz w:val="28"/>
            <w:szCs w:val="28"/>
          </w:rPr>
          <w:t>Стратегии</w:t>
        </w:r>
      </w:hyperlink>
      <w:r>
        <w:rPr>
          <w:rFonts w:ascii="Times New Roman" w:hAnsi="Times New Roman" w:cs="Times New Roman"/>
          <w:sz w:val="28"/>
          <w:szCs w:val="28"/>
        </w:rPr>
        <w:t xml:space="preserve"> социально-экономического развития муниципального образования городского округа </w:t>
      </w:r>
      <w:r>
        <w:rPr>
          <w:rFonts w:ascii="Times New Roman" w:hAnsi="Times New Roman" w:cs="Times New Roman"/>
          <w:sz w:val="28"/>
          <w:szCs w:val="28"/>
        </w:rPr>
        <w:t>«</w:t>
      </w:r>
      <w:r>
        <w:rPr>
          <w:rFonts w:ascii="Times New Roman" w:hAnsi="Times New Roman" w:cs="Times New Roman"/>
          <w:sz w:val="28"/>
          <w:szCs w:val="28"/>
        </w:rPr>
        <w:t>Город Комсомольск-на-Амуре</w:t>
      </w:r>
      <w:r>
        <w:rPr>
          <w:rFonts w:ascii="Times New Roman" w:hAnsi="Times New Roman" w:cs="Times New Roman"/>
          <w:sz w:val="28"/>
          <w:szCs w:val="28"/>
        </w:rPr>
        <w:t>»</w:t>
      </w:r>
      <w:r>
        <w:rPr>
          <w:rFonts w:ascii="Times New Roman" w:hAnsi="Times New Roman" w:cs="Times New Roman"/>
          <w:sz w:val="28"/>
          <w:szCs w:val="28"/>
        </w:rPr>
        <w:t xml:space="preserve"> до 2032 года, утвержденной решением Комсомольской-на-Амуре городской Думы от 28 декабря 2016 г. N 116 и </w:t>
      </w:r>
      <w:hyperlink r:id="rId11" w:history="1">
        <w:r>
          <w:rPr>
            <w:rFonts w:ascii="Times New Roman" w:hAnsi="Times New Roman" w:cs="Times New Roman"/>
            <w:color w:val="0000FF"/>
            <w:sz w:val="28"/>
            <w:szCs w:val="28"/>
          </w:rPr>
          <w:t>Плана</w:t>
        </w:r>
      </w:hyperlink>
      <w:r>
        <w:rPr>
          <w:rFonts w:ascii="Times New Roman" w:hAnsi="Times New Roman" w:cs="Times New Roman"/>
          <w:sz w:val="28"/>
          <w:szCs w:val="28"/>
        </w:rPr>
        <w:t xml:space="preserve"> мероприятий по реализации Стратегии социально-экономического развития муниципального образования городского округа </w:t>
      </w:r>
      <w:r>
        <w:rPr>
          <w:rFonts w:ascii="Times New Roman" w:hAnsi="Times New Roman" w:cs="Times New Roman"/>
          <w:sz w:val="28"/>
          <w:szCs w:val="28"/>
        </w:rPr>
        <w:t>«</w:t>
      </w:r>
      <w:r>
        <w:rPr>
          <w:rFonts w:ascii="Times New Roman" w:hAnsi="Times New Roman" w:cs="Times New Roman"/>
          <w:sz w:val="28"/>
          <w:szCs w:val="28"/>
        </w:rPr>
        <w:t>Город Комсомольск-на-Амуре</w:t>
      </w:r>
      <w:r>
        <w:rPr>
          <w:rFonts w:ascii="Times New Roman" w:hAnsi="Times New Roman" w:cs="Times New Roman"/>
          <w:sz w:val="28"/>
          <w:szCs w:val="28"/>
        </w:rPr>
        <w:t>»</w:t>
      </w:r>
      <w:r>
        <w:rPr>
          <w:rFonts w:ascii="Times New Roman" w:hAnsi="Times New Roman" w:cs="Times New Roman"/>
          <w:sz w:val="28"/>
          <w:szCs w:val="28"/>
        </w:rPr>
        <w:t xml:space="preserve"> до 2032 года, утвержденного постановлением администрации города Комсомольска-на-Амуре от 25 сентября 2017 г. N 2419-па, а также на обеспечение условий для устойчивого развития общественных объединений и некоммерческих организаций города Комсомольска-на-Амуре, повышение эффективности решения вопросов местного значения через развитие взаимодействия и социального партнерства администрации города и общественных объединений и НКО города Комсомольска-на-Амуре, а также повышение гражданской активности населения в решении вопросов местного значения и деятельности СОНКО.</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формировании благоприятной деловой среды муниципального образования город Комсомольск-на-Амуре особую роль играют институты гражданского общества, содействуя повышению открытости работы органов власти, негосударственного сектора экономики, вовлечению экспертного и профессионального сообществ в выработку и реализацию решений в сфере социальной политики.</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Необходимость разработки Программы обусловлена реализацией государственной политики в области поддержки СОНКО, основной задачей которой является создание благоприятных условий для осуществления деятельности общественных объединений и НКО.</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НКО являются основными институтами гражданского общества и значимыми партнерами органов местного самоуправления в решении стоящих перед обществом проблем. Большинство НКО осуществляют социально значимую деятельность, направленную на решение актуальных для общества задач и реализацию интересов граждан.</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 основании данных из Единого государственного реестра юридических лиц на III квартал 2019 года в городе Комсомольске-на-Амуре зарегистрировано 233 НКО.</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их числе: спортивные организации, профсоюзы предприятий и организаций, организации социальной направленности, организации в сфере профессиональных интересов, ветеранские организации (включая ветеранов войны, локальных конфликтов, Вооруженных сил и правоохранительных органов), молодежные организации, организации в сфере здорового образа жизни, искусства и культуры, организации людей с ограниченными возможностями, отделения политических партий Российской Федерации, иные организации (молодежные движения, общественные и благотворительные фонды, клубы по интересам и др.).</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Однако далеко не все зарегистрированные организации осуществляют свою деятельность. Реально действуют не более половины, именно они и составляют фундамент гражданского общества в городе. Остальные в силу определенного ряда обстоятельств или фактически прекратили работу, или реализуют свой потенциал далеко не в полной мере.</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 наиболее крупными НКО (их более 50), в том числе социально ориентированными, администрация города сотрудничает и взаимодействует в различных сферах деятельности. Представители этих организаций входят в состав коллегиальных совещательных органов при администрации города, принимают участие в обсуждении вопросов развития города Комсомольска-на-Амуре, в различных мероприятиях и др.</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 целью координации деятельности и оказания практической помощи НКО и общественным объединениям </w:t>
      </w:r>
      <w:hyperlink r:id="rId12" w:history="1">
        <w:r>
          <w:rPr>
            <w:rFonts w:ascii="Times New Roman" w:hAnsi="Times New Roman" w:cs="Times New Roman"/>
            <w:color w:val="0000FF"/>
            <w:sz w:val="28"/>
            <w:szCs w:val="28"/>
          </w:rPr>
          <w:t>распоряжением</w:t>
        </w:r>
      </w:hyperlink>
      <w:r>
        <w:rPr>
          <w:rFonts w:ascii="Times New Roman" w:hAnsi="Times New Roman" w:cs="Times New Roman"/>
          <w:sz w:val="28"/>
          <w:szCs w:val="28"/>
        </w:rPr>
        <w:t xml:space="preserve"> администрации города Комсомольска-на-Амуре N 576-ра от 30 декабря 2010 г. утверждено </w:t>
      </w:r>
      <w:r>
        <w:rPr>
          <w:rFonts w:ascii="Times New Roman" w:hAnsi="Times New Roman" w:cs="Times New Roman"/>
          <w:sz w:val="28"/>
          <w:szCs w:val="28"/>
        </w:rPr>
        <w:t>«</w:t>
      </w:r>
      <w:r>
        <w:rPr>
          <w:rFonts w:ascii="Times New Roman" w:hAnsi="Times New Roman" w:cs="Times New Roman"/>
          <w:sz w:val="28"/>
          <w:szCs w:val="28"/>
        </w:rPr>
        <w:t xml:space="preserve">Положение о порядке взаимодействия администрации города Комсомольска-на-Амуре с некоммерческими организациями и общественными объединениями, осуществляющим свою деятельность на территории городского округа </w:t>
      </w:r>
      <w:r>
        <w:rPr>
          <w:rFonts w:ascii="Times New Roman" w:hAnsi="Times New Roman" w:cs="Times New Roman"/>
          <w:sz w:val="28"/>
          <w:szCs w:val="28"/>
        </w:rPr>
        <w:t>«</w:t>
      </w:r>
      <w:r>
        <w:rPr>
          <w:rFonts w:ascii="Times New Roman" w:hAnsi="Times New Roman" w:cs="Times New Roman"/>
          <w:sz w:val="28"/>
          <w:szCs w:val="28"/>
        </w:rPr>
        <w:t>Город Комсомольск-на-Амуре</w:t>
      </w:r>
      <w:r>
        <w:rPr>
          <w:rFonts w:ascii="Times New Roman" w:hAnsi="Times New Roman" w:cs="Times New Roman"/>
          <w:sz w:val="28"/>
          <w:szCs w:val="28"/>
        </w:rPr>
        <w:t>»</w:t>
      </w:r>
      <w:r>
        <w:rPr>
          <w:rFonts w:ascii="Times New Roman" w:hAnsi="Times New Roman" w:cs="Times New Roman"/>
          <w:sz w:val="28"/>
          <w:szCs w:val="28"/>
        </w:rPr>
        <w:t>. В рамках данного распоряжения проводится работа по адресному курированию органами администрации города закрепленных НКО.</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Большое значение имеет совместное участие органов местного самоуправления и общественных объединений в решении проблем города Комсомольска-на-Амуре. Одной из форм взаимодействия органов местного самоуправления и общественных объединений города является Координационный совет по развитию и поддержке инициатив гражданского общества при администрации города Комсомольска-на-Амуре. Основной задачей Совета является обеспечение взаимодействия органов местного самоуправления города Комсомольска-на-Амуре с гражданами, общественными объединениями и иными НКО в целях повышения эффективности реализации администрацией города Комсомольска-на-Амуре полномочий по развитию и поддержке инициатив гражданского общества.</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Кроме того, администрацией города ведется системная работа с такими общественными формированиями, как советы общественности в микрорайонах, советы многоквартирных домов, ТОС. Для них проводятся консультационные встречи, семинары, </w:t>
      </w:r>
      <w:r>
        <w:rPr>
          <w:rFonts w:ascii="Times New Roman" w:hAnsi="Times New Roman" w:cs="Times New Roman"/>
          <w:sz w:val="28"/>
          <w:szCs w:val="28"/>
        </w:rPr>
        <w:t>«</w:t>
      </w:r>
      <w:r>
        <w:rPr>
          <w:rFonts w:ascii="Times New Roman" w:hAnsi="Times New Roman" w:cs="Times New Roman"/>
          <w:sz w:val="28"/>
          <w:szCs w:val="28"/>
        </w:rPr>
        <w:t>круглые столы</w:t>
      </w:r>
      <w:r>
        <w:rPr>
          <w:rFonts w:ascii="Times New Roman" w:hAnsi="Times New Roman" w:cs="Times New Roman"/>
          <w:sz w:val="28"/>
          <w:szCs w:val="28"/>
        </w:rPr>
        <w:t>»</w:t>
      </w:r>
      <w:r>
        <w:rPr>
          <w:rFonts w:ascii="Times New Roman" w:hAnsi="Times New Roman" w:cs="Times New Roman"/>
          <w:sz w:val="28"/>
          <w:szCs w:val="28"/>
        </w:rPr>
        <w:t>, оказывается содействие в организации и проведении мероприятий на жилмассиве. Созданы и работают координационные советы по работе с населением в Центральном и Ленинском округах администрации города.</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Однако проводимой работы недостаточно для становления развитого гражданского общества в городе. Основной проблемой в данной сфере является низкая активность деятельности СОНКО, а также низкая гражданская активность населения в решении вопросов местного значения. Этому препятствует существование ряда проблем, к числу которых относятся:</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недостаточное использование потенциала общественных организаций и объединений в решении проблем местного значения;</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гражданская пассивность населения, которая может быть обусловлена низким уровнем доверия населения к представителям власти, а также сложившимся мнением, что рядовой гражданин никак не может повлиять на общественные события;</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недостаточный профессионализм кадров, участвующих в процессах развития общественных организаций;</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несовершенство системы обмена информацией между властью и институтами гражданского общества;</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ограниченные возможности органов местного самоуправления в содействии населению и СОНКО в реализации их инициатив.</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Другой проблемой, сдерживающей развитие и результативное функционирование СОНКО, является незначительная муниципальная поддержка.</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Основным условием для стабильного развития НКО является возможность доступа к ресурсам для осуществления уставных задач. Общественно полезный характер деятельности НКО не позволяет финансировать их работу за счет оплаты услуг конкретными благополучателями. Поэтому основным источником финансирования НКО является целевое финансирование их деятельности через систему грантов и/или через субсидирование издержек.</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Для привлечения НКО к решению актуальных для городского округа проблем необходимо развивать грантовую систему софинансирования проектов за счет средств местного бюджета города Комсомольска-на-Амуре, а также средств краевого бюджета.</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Для решения данной задачи в рамках Программы предусмотрена организация и проведение конкурса социально значимых инициатив среди СОНКО. Проведение конкурса позволит создать условия для финансовой поддержки инициатив общественных объединений и НКО, направленных на непосредственную работу с людьми, инициативу населения. Конкурс будет проходить в соответствии с порядком, утвержденным администрацией города.</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Недостаточный уровень освещенности деятельности СОНКО в средствах массовой информации (далее - СМИ) снижает социальный эффект их деятельности, что не оказывает необходимого содействия развитию институтов и инициатив гражданского общества. СМИ могут осуществлять функции вовлечения граждан в общественную деятельность, формировать благоприятный имидж гражданских институтов, способствовать развитию конструктивного диалога с властью.</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Деятельность общественных объединений, организаций - это надежный проводник обратной связи от населения к власти, при их помощи органы местного самоуправления получают информацию об эффективности или неэффективности своих действий и реакции общества на них. Содействие развитию общественных объединений и НКО является одной из приоритетных задач социально-экономического развития города Комсомольска-на-Амуре.</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Применение программно-целевого метода будет способствовать согласованности действий администрации города, коллегиальных </w:t>
      </w:r>
      <w:r>
        <w:rPr>
          <w:rFonts w:ascii="Times New Roman" w:hAnsi="Times New Roman" w:cs="Times New Roman"/>
          <w:sz w:val="28"/>
          <w:szCs w:val="28"/>
        </w:rPr>
        <w:lastRenderedPageBreak/>
        <w:t>общественных органов, общественных объединений и НКО, планированию совместных действий и существующих ресурсов, обоснованной стратегии и тактики деятельности, развитию процесса по дальнейшему формированию гражданского и общественного сознания жителей города Комсомольска-на-Амуре.</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p>
    <w:p w:rsidR="00CD7103" w:rsidRDefault="00CD7103" w:rsidP="00CD7103">
      <w:pPr>
        <w:autoSpaceDE w:val="0"/>
        <w:autoSpaceDN w:val="0"/>
        <w:adjustRightInd w:val="0"/>
        <w:spacing w:after="0" w:line="240" w:lineRule="auto"/>
        <w:ind w:firstLine="709"/>
        <w:jc w:val="center"/>
        <w:outlineLvl w:val="1"/>
        <w:rPr>
          <w:rFonts w:ascii="Times New Roman" w:hAnsi="Times New Roman" w:cs="Times New Roman"/>
          <w:b/>
          <w:bCs/>
          <w:sz w:val="28"/>
          <w:szCs w:val="28"/>
        </w:rPr>
      </w:pPr>
      <w:r>
        <w:rPr>
          <w:rFonts w:ascii="Times New Roman" w:hAnsi="Times New Roman" w:cs="Times New Roman"/>
          <w:b/>
          <w:bCs/>
          <w:sz w:val="28"/>
          <w:szCs w:val="28"/>
        </w:rPr>
        <w:t>2. Приоритеты и цели деятельности администрации города</w:t>
      </w:r>
    </w:p>
    <w:p w:rsidR="00CD7103" w:rsidRDefault="00CD7103" w:rsidP="00CD7103">
      <w:pPr>
        <w:autoSpaceDE w:val="0"/>
        <w:autoSpaceDN w:val="0"/>
        <w:adjustRightInd w:val="0"/>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в сфере развития гражданского общества. Цели и задачи</w:t>
      </w:r>
    </w:p>
    <w:p w:rsidR="00CD7103" w:rsidRDefault="00CD7103" w:rsidP="00CD7103">
      <w:pPr>
        <w:autoSpaceDE w:val="0"/>
        <w:autoSpaceDN w:val="0"/>
        <w:adjustRightInd w:val="0"/>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муниципальной программы</w:t>
      </w:r>
    </w:p>
    <w:p w:rsidR="00CD7103" w:rsidRDefault="00CD7103" w:rsidP="00CD7103">
      <w:pPr>
        <w:autoSpaceDE w:val="0"/>
        <w:autoSpaceDN w:val="0"/>
        <w:adjustRightInd w:val="0"/>
        <w:spacing w:after="0" w:line="240" w:lineRule="auto"/>
        <w:ind w:firstLine="709"/>
        <w:jc w:val="center"/>
        <w:rPr>
          <w:rFonts w:ascii="Times New Roman" w:hAnsi="Times New Roman" w:cs="Times New Roman"/>
          <w:b/>
          <w:bCs/>
          <w:sz w:val="28"/>
          <w:szCs w:val="28"/>
        </w:rPr>
      </w:pP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Приоритеты и цели деятельности администрации города в сфере развития гражданского общества соответствуют целями государственной политики, установленными:</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Федеральном </w:t>
      </w:r>
      <w:hyperlink r:id="rId13" w:history="1">
        <w:r>
          <w:rPr>
            <w:rFonts w:ascii="Times New Roman" w:hAnsi="Times New Roman" w:cs="Times New Roman"/>
            <w:color w:val="0000FF"/>
            <w:sz w:val="28"/>
            <w:szCs w:val="28"/>
          </w:rPr>
          <w:t>законе</w:t>
        </w:r>
      </w:hyperlink>
      <w:r>
        <w:rPr>
          <w:rFonts w:ascii="Times New Roman" w:hAnsi="Times New Roman" w:cs="Times New Roman"/>
          <w:sz w:val="28"/>
          <w:szCs w:val="28"/>
        </w:rPr>
        <w:t xml:space="preserve"> от 06 октября 2003 г. N 131-ФЗ </w:t>
      </w:r>
      <w:r>
        <w:rPr>
          <w:rFonts w:ascii="Times New Roman" w:hAnsi="Times New Roman" w:cs="Times New Roman"/>
          <w:sz w:val="28"/>
          <w:szCs w:val="28"/>
        </w:rPr>
        <w:t>«</w:t>
      </w:r>
      <w:r>
        <w:rPr>
          <w:rFonts w:ascii="Times New Roman" w:hAnsi="Times New Roman" w:cs="Times New Roman"/>
          <w:sz w:val="28"/>
          <w:szCs w:val="28"/>
        </w:rPr>
        <w:t>Об общих принципах организации местного самоуправления в Российской Федерации</w:t>
      </w:r>
      <w:r>
        <w:rPr>
          <w:rFonts w:ascii="Times New Roman" w:hAnsi="Times New Roman" w:cs="Times New Roman"/>
          <w:sz w:val="28"/>
          <w:szCs w:val="28"/>
        </w:rPr>
        <w:t>»</w:t>
      </w:r>
      <w:r>
        <w:rPr>
          <w:rFonts w:ascii="Times New Roman" w:hAnsi="Times New Roman" w:cs="Times New Roman"/>
          <w:sz w:val="28"/>
          <w:szCs w:val="28"/>
        </w:rPr>
        <w:t>;</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Федеральном </w:t>
      </w:r>
      <w:hyperlink r:id="rId14" w:history="1">
        <w:r>
          <w:rPr>
            <w:rFonts w:ascii="Times New Roman" w:hAnsi="Times New Roman" w:cs="Times New Roman"/>
            <w:color w:val="0000FF"/>
            <w:sz w:val="28"/>
            <w:szCs w:val="28"/>
          </w:rPr>
          <w:t>законе</w:t>
        </w:r>
      </w:hyperlink>
      <w:r>
        <w:rPr>
          <w:rFonts w:ascii="Times New Roman" w:hAnsi="Times New Roman" w:cs="Times New Roman"/>
          <w:sz w:val="28"/>
          <w:szCs w:val="28"/>
        </w:rPr>
        <w:t xml:space="preserve"> от 22 октября 2013 г. N 284-ФЗ </w:t>
      </w:r>
      <w:r>
        <w:rPr>
          <w:rFonts w:ascii="Times New Roman" w:hAnsi="Times New Roman" w:cs="Times New Roman"/>
          <w:sz w:val="28"/>
          <w:szCs w:val="28"/>
        </w:rPr>
        <w:t>«</w:t>
      </w:r>
      <w:r>
        <w:rPr>
          <w:rFonts w:ascii="Times New Roman" w:hAnsi="Times New Roman" w:cs="Times New Roman"/>
          <w:sz w:val="28"/>
          <w:szCs w:val="28"/>
        </w:rPr>
        <w:t>О внесении изменений в отдельные законодательные акты Российской Федерации в части определения полномочий и ответственности органов государственной власти субъектов Российской Федерации, органов местного самоуправления и их должностных лиц в сфере межнациональных отношений</w:t>
      </w:r>
      <w:r>
        <w:rPr>
          <w:rFonts w:ascii="Times New Roman" w:hAnsi="Times New Roman" w:cs="Times New Roman"/>
          <w:sz w:val="28"/>
          <w:szCs w:val="28"/>
        </w:rPr>
        <w:t>»</w:t>
      </w:r>
      <w:r>
        <w:rPr>
          <w:rFonts w:ascii="Times New Roman" w:hAnsi="Times New Roman" w:cs="Times New Roman"/>
          <w:sz w:val="28"/>
          <w:szCs w:val="28"/>
        </w:rPr>
        <w:t>;</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hyperlink r:id="rId15" w:history="1">
        <w:r>
          <w:rPr>
            <w:rFonts w:ascii="Times New Roman" w:hAnsi="Times New Roman" w:cs="Times New Roman"/>
            <w:color w:val="0000FF"/>
            <w:sz w:val="28"/>
            <w:szCs w:val="28"/>
          </w:rPr>
          <w:t>Указе</w:t>
        </w:r>
      </w:hyperlink>
      <w:r>
        <w:rPr>
          <w:rFonts w:ascii="Times New Roman" w:hAnsi="Times New Roman" w:cs="Times New Roman"/>
          <w:sz w:val="28"/>
          <w:szCs w:val="28"/>
        </w:rPr>
        <w:t xml:space="preserve"> Президента Российской Федерации от 07 мая 2012 г. N 602 </w:t>
      </w:r>
      <w:r>
        <w:rPr>
          <w:rFonts w:ascii="Times New Roman" w:hAnsi="Times New Roman" w:cs="Times New Roman"/>
          <w:sz w:val="28"/>
          <w:szCs w:val="28"/>
        </w:rPr>
        <w:t>«</w:t>
      </w:r>
      <w:r>
        <w:rPr>
          <w:rFonts w:ascii="Times New Roman" w:hAnsi="Times New Roman" w:cs="Times New Roman"/>
          <w:sz w:val="28"/>
          <w:szCs w:val="28"/>
        </w:rPr>
        <w:t>Об обеспечении межнационального согласия</w:t>
      </w:r>
      <w:r>
        <w:rPr>
          <w:rFonts w:ascii="Times New Roman" w:hAnsi="Times New Roman" w:cs="Times New Roman"/>
          <w:sz w:val="28"/>
          <w:szCs w:val="28"/>
        </w:rPr>
        <w:t>»</w:t>
      </w:r>
      <w:r>
        <w:rPr>
          <w:rFonts w:ascii="Times New Roman" w:hAnsi="Times New Roman" w:cs="Times New Roman"/>
          <w:sz w:val="28"/>
          <w:szCs w:val="28"/>
        </w:rPr>
        <w:t>;</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hyperlink r:id="rId16" w:history="1">
        <w:r>
          <w:rPr>
            <w:rFonts w:ascii="Times New Roman" w:hAnsi="Times New Roman" w:cs="Times New Roman"/>
            <w:color w:val="0000FF"/>
            <w:sz w:val="28"/>
            <w:szCs w:val="28"/>
          </w:rPr>
          <w:t>Указе</w:t>
        </w:r>
      </w:hyperlink>
      <w:r>
        <w:rPr>
          <w:rFonts w:ascii="Times New Roman" w:hAnsi="Times New Roman" w:cs="Times New Roman"/>
          <w:sz w:val="28"/>
          <w:szCs w:val="28"/>
        </w:rPr>
        <w:t xml:space="preserve"> Президента Российской Федерации от 19 декабря 2012 г. N 1666 </w:t>
      </w:r>
      <w:r>
        <w:rPr>
          <w:rFonts w:ascii="Times New Roman" w:hAnsi="Times New Roman" w:cs="Times New Roman"/>
          <w:sz w:val="28"/>
          <w:szCs w:val="28"/>
        </w:rPr>
        <w:t>«</w:t>
      </w:r>
      <w:r>
        <w:rPr>
          <w:rFonts w:ascii="Times New Roman" w:hAnsi="Times New Roman" w:cs="Times New Roman"/>
          <w:sz w:val="28"/>
          <w:szCs w:val="28"/>
        </w:rPr>
        <w:t>О Стратегии государственной национальной политики Российской Федерации на период до 2025 года</w:t>
      </w:r>
      <w:r>
        <w:rPr>
          <w:rFonts w:ascii="Times New Roman" w:hAnsi="Times New Roman" w:cs="Times New Roman"/>
          <w:sz w:val="28"/>
          <w:szCs w:val="28"/>
        </w:rPr>
        <w:t>»</w:t>
      </w:r>
      <w:r>
        <w:rPr>
          <w:rFonts w:ascii="Times New Roman" w:hAnsi="Times New Roman" w:cs="Times New Roman"/>
          <w:sz w:val="28"/>
          <w:szCs w:val="28"/>
        </w:rPr>
        <w:t>;</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hyperlink r:id="rId17" w:history="1">
        <w:r>
          <w:rPr>
            <w:rFonts w:ascii="Times New Roman" w:hAnsi="Times New Roman" w:cs="Times New Roman"/>
            <w:color w:val="0000FF"/>
            <w:sz w:val="28"/>
            <w:szCs w:val="28"/>
          </w:rPr>
          <w:t>Основах</w:t>
        </w:r>
      </w:hyperlink>
      <w:r>
        <w:rPr>
          <w:rFonts w:ascii="Times New Roman" w:hAnsi="Times New Roman" w:cs="Times New Roman"/>
          <w:sz w:val="28"/>
          <w:szCs w:val="28"/>
        </w:rPr>
        <w:t xml:space="preserve"> государственной политики Российской Федерации в сфере развития правовой грамотности и правосознания граждан, утвержденных Президентом Российской Федерации от 28 апреля 2011 г. N Пр-1168;</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государственной </w:t>
      </w:r>
      <w:hyperlink r:id="rId18" w:history="1">
        <w:r>
          <w:rPr>
            <w:rFonts w:ascii="Times New Roman" w:hAnsi="Times New Roman" w:cs="Times New Roman"/>
            <w:color w:val="0000FF"/>
            <w:sz w:val="28"/>
            <w:szCs w:val="28"/>
          </w:rPr>
          <w:t>программе</w:t>
        </w:r>
      </w:hyperlink>
      <w:r>
        <w:rPr>
          <w:rFonts w:ascii="Times New Roman" w:hAnsi="Times New Roman" w:cs="Times New Roman"/>
          <w:sz w:val="28"/>
          <w:szCs w:val="28"/>
        </w:rPr>
        <w:t xml:space="preserve"> Российской Федерации </w:t>
      </w:r>
      <w:r>
        <w:rPr>
          <w:rFonts w:ascii="Times New Roman" w:hAnsi="Times New Roman" w:cs="Times New Roman"/>
          <w:sz w:val="28"/>
          <w:szCs w:val="28"/>
        </w:rPr>
        <w:t>«</w:t>
      </w:r>
      <w:r>
        <w:rPr>
          <w:rFonts w:ascii="Times New Roman" w:hAnsi="Times New Roman" w:cs="Times New Roman"/>
          <w:sz w:val="28"/>
          <w:szCs w:val="28"/>
        </w:rPr>
        <w:t>Реализация государственной национальной политики</w:t>
      </w:r>
      <w:r>
        <w:rPr>
          <w:rFonts w:ascii="Times New Roman" w:hAnsi="Times New Roman" w:cs="Times New Roman"/>
          <w:sz w:val="28"/>
          <w:szCs w:val="28"/>
        </w:rPr>
        <w:t>»</w:t>
      </w:r>
      <w:r>
        <w:rPr>
          <w:rFonts w:ascii="Times New Roman" w:hAnsi="Times New Roman" w:cs="Times New Roman"/>
          <w:sz w:val="28"/>
          <w:szCs w:val="28"/>
        </w:rPr>
        <w:t>, утвержденной Постановлением Правительства Российской Федерации от 29 декабря 2016 г. N 1532;</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hyperlink r:id="rId19" w:history="1">
        <w:r>
          <w:rPr>
            <w:rFonts w:ascii="Times New Roman" w:hAnsi="Times New Roman" w:cs="Times New Roman"/>
            <w:color w:val="0000FF"/>
            <w:sz w:val="28"/>
            <w:szCs w:val="28"/>
          </w:rPr>
          <w:t>Концепции</w:t>
        </w:r>
      </w:hyperlink>
      <w:r>
        <w:rPr>
          <w:rFonts w:ascii="Times New Roman" w:hAnsi="Times New Roman" w:cs="Times New Roman"/>
          <w:sz w:val="28"/>
          <w:szCs w:val="28"/>
        </w:rP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 N 1662-р;</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hyperlink r:id="rId20" w:history="1">
        <w:r>
          <w:rPr>
            <w:rFonts w:ascii="Times New Roman" w:hAnsi="Times New Roman" w:cs="Times New Roman"/>
            <w:color w:val="0000FF"/>
            <w:sz w:val="28"/>
            <w:szCs w:val="28"/>
          </w:rPr>
          <w:t>Стратегии</w:t>
        </w:r>
      </w:hyperlink>
      <w:r>
        <w:rPr>
          <w:rFonts w:ascii="Times New Roman" w:hAnsi="Times New Roman" w:cs="Times New Roman"/>
          <w:sz w:val="28"/>
          <w:szCs w:val="28"/>
        </w:rPr>
        <w:t xml:space="preserve"> социально-экономического развития Дальнего Востока и Байкальского региона на период до 2025 года, утвержденной распоряжением Правительства Российской Федерации от 28 декабря 2009 г. N 2094-р.</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Цели Программы отвечают стратегическим целям, предусматривающим создание комфортной среды для жителей города и создание условий для развития социальной сферы. Задачи Программы согласованы со стратегическими приоритетами первого уровня </w:t>
      </w:r>
      <w:r>
        <w:rPr>
          <w:rFonts w:ascii="Times New Roman" w:hAnsi="Times New Roman" w:cs="Times New Roman"/>
          <w:sz w:val="28"/>
          <w:szCs w:val="28"/>
        </w:rPr>
        <w:t>«</w:t>
      </w:r>
      <w:r>
        <w:rPr>
          <w:rFonts w:ascii="Times New Roman" w:hAnsi="Times New Roman" w:cs="Times New Roman"/>
          <w:sz w:val="28"/>
          <w:szCs w:val="28"/>
        </w:rPr>
        <w:t>Пространственное развитие</w:t>
      </w:r>
      <w:r>
        <w:rPr>
          <w:rFonts w:ascii="Times New Roman" w:hAnsi="Times New Roman" w:cs="Times New Roman"/>
          <w:sz w:val="28"/>
          <w:szCs w:val="28"/>
        </w:rPr>
        <w:t>»</w:t>
      </w:r>
      <w:r>
        <w:rPr>
          <w:rFonts w:ascii="Times New Roman" w:hAnsi="Times New Roman" w:cs="Times New Roman"/>
          <w:sz w:val="28"/>
          <w:szCs w:val="28"/>
        </w:rPr>
        <w:t xml:space="preserve"> и </w:t>
      </w:r>
      <w:r>
        <w:rPr>
          <w:rFonts w:ascii="Times New Roman" w:hAnsi="Times New Roman" w:cs="Times New Roman"/>
          <w:sz w:val="28"/>
          <w:szCs w:val="28"/>
        </w:rPr>
        <w:t>«</w:t>
      </w:r>
      <w:r>
        <w:rPr>
          <w:rFonts w:ascii="Times New Roman" w:hAnsi="Times New Roman" w:cs="Times New Roman"/>
          <w:sz w:val="28"/>
          <w:szCs w:val="28"/>
        </w:rPr>
        <w:t>Экономическое развитие</w:t>
      </w:r>
      <w:r>
        <w:rPr>
          <w:rFonts w:ascii="Times New Roman" w:hAnsi="Times New Roman" w:cs="Times New Roman"/>
          <w:sz w:val="28"/>
          <w:szCs w:val="28"/>
        </w:rPr>
        <w:t>»</w:t>
      </w:r>
      <w:r>
        <w:rPr>
          <w:rFonts w:ascii="Times New Roman" w:hAnsi="Times New Roman" w:cs="Times New Roman"/>
          <w:sz w:val="28"/>
          <w:szCs w:val="28"/>
        </w:rPr>
        <w:t>, направлены на решение стратегических задач в области пространственного развития и информационной открытости деятельности администрации города.</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Учитывая основные целевые ориентиры и приоритеты развития гражданского общества, целью Программы является содействие развитию институтов гражданского общества г. Комсомольска-на-Амуре.</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Для достижения данных целей предполагается решение следующих задач:</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формирование условий для развития системы поддержки деятельности институтов гражданского общества;</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развитие общественно-муниципального партнерства;</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обеспечение условий эффективного функционирования институтов гражданского общества посредством оказания муниципальной поддержки;</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вовлечение населения в решение вопросов местного значения города Комсомольска-на-Амуре.</w:t>
      </w:r>
    </w:p>
    <w:p w:rsidR="00CD7103" w:rsidRDefault="00CD7103" w:rsidP="00CD7103">
      <w:pPr>
        <w:autoSpaceDE w:val="0"/>
        <w:autoSpaceDN w:val="0"/>
        <w:adjustRightInd w:val="0"/>
        <w:spacing w:after="0" w:line="240" w:lineRule="auto"/>
        <w:ind w:firstLine="709"/>
        <w:jc w:val="center"/>
        <w:outlineLvl w:val="1"/>
        <w:rPr>
          <w:rFonts w:ascii="Times New Roman" w:hAnsi="Times New Roman" w:cs="Times New Roman"/>
          <w:b/>
          <w:bCs/>
          <w:sz w:val="28"/>
          <w:szCs w:val="28"/>
        </w:rPr>
      </w:pPr>
    </w:p>
    <w:p w:rsidR="00CD7103" w:rsidRDefault="00CD7103" w:rsidP="00CD7103">
      <w:pPr>
        <w:autoSpaceDE w:val="0"/>
        <w:autoSpaceDN w:val="0"/>
        <w:adjustRightInd w:val="0"/>
        <w:spacing w:after="0" w:line="240" w:lineRule="auto"/>
        <w:ind w:firstLine="709"/>
        <w:jc w:val="center"/>
        <w:outlineLvl w:val="1"/>
        <w:rPr>
          <w:rFonts w:ascii="Times New Roman" w:hAnsi="Times New Roman" w:cs="Times New Roman"/>
          <w:b/>
          <w:bCs/>
          <w:sz w:val="28"/>
          <w:szCs w:val="28"/>
        </w:rPr>
      </w:pPr>
      <w:r>
        <w:rPr>
          <w:rFonts w:ascii="Times New Roman" w:hAnsi="Times New Roman" w:cs="Times New Roman"/>
          <w:b/>
          <w:bCs/>
          <w:sz w:val="28"/>
          <w:szCs w:val="28"/>
        </w:rPr>
        <w:t>3. Прогноз конечных результатов реализации</w:t>
      </w:r>
    </w:p>
    <w:p w:rsidR="00CD7103" w:rsidRDefault="00CD7103" w:rsidP="00CD7103">
      <w:pPr>
        <w:autoSpaceDE w:val="0"/>
        <w:autoSpaceDN w:val="0"/>
        <w:adjustRightInd w:val="0"/>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муниципальной программы</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результате реализации Программы к 2024 году планируется:</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В рамках достижения цели муниципальной программы </w:t>
      </w:r>
      <w:r>
        <w:rPr>
          <w:rFonts w:ascii="Times New Roman" w:hAnsi="Times New Roman" w:cs="Times New Roman"/>
          <w:sz w:val="28"/>
          <w:szCs w:val="28"/>
        </w:rPr>
        <w:t>«</w:t>
      </w:r>
      <w:r>
        <w:rPr>
          <w:rFonts w:ascii="Times New Roman" w:hAnsi="Times New Roman" w:cs="Times New Roman"/>
          <w:sz w:val="28"/>
          <w:szCs w:val="28"/>
        </w:rPr>
        <w:t>Содействие развитию институтов гражданского общества г. Комсомольска-на-Амуре</w:t>
      </w:r>
      <w:r>
        <w:rPr>
          <w:rFonts w:ascii="Times New Roman" w:hAnsi="Times New Roman" w:cs="Times New Roman"/>
          <w:sz w:val="28"/>
          <w:szCs w:val="28"/>
        </w:rPr>
        <w:t>»</w:t>
      </w:r>
      <w:r>
        <w:rPr>
          <w:rFonts w:ascii="Times New Roman" w:hAnsi="Times New Roman" w:cs="Times New Roman"/>
          <w:sz w:val="28"/>
          <w:szCs w:val="28"/>
        </w:rPr>
        <w:t>:</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увеличение количества НКО на 114 единиц;</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увеличение количества граждан, вовлеченных в деятельность ТОС, на 22 011 человек.</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В рамках задачи I </w:t>
      </w:r>
      <w:r>
        <w:rPr>
          <w:rFonts w:ascii="Times New Roman" w:hAnsi="Times New Roman" w:cs="Times New Roman"/>
          <w:sz w:val="28"/>
          <w:szCs w:val="28"/>
        </w:rPr>
        <w:t>«</w:t>
      </w:r>
      <w:r>
        <w:rPr>
          <w:rFonts w:ascii="Times New Roman" w:hAnsi="Times New Roman" w:cs="Times New Roman"/>
          <w:sz w:val="28"/>
          <w:szCs w:val="28"/>
        </w:rPr>
        <w:t>Формирование условий для развития системы поддержки деятельности институтов гражданского общества</w:t>
      </w:r>
      <w:r>
        <w:rPr>
          <w:rFonts w:ascii="Times New Roman" w:hAnsi="Times New Roman" w:cs="Times New Roman"/>
          <w:sz w:val="28"/>
          <w:szCs w:val="28"/>
        </w:rPr>
        <w:t>»</w:t>
      </w:r>
      <w:r>
        <w:rPr>
          <w:rFonts w:ascii="Times New Roman" w:hAnsi="Times New Roman" w:cs="Times New Roman"/>
          <w:sz w:val="28"/>
          <w:szCs w:val="28"/>
        </w:rPr>
        <w:t>:</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увеличение количества информационных материалов, опубликованных на информационных ресурсах, посвященных социально значимой деятельности общественных объединений, НКО и вопросам развития инициатив гражданского общества до 115 материалов.</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В рамках задачи II </w:t>
      </w:r>
      <w:r>
        <w:rPr>
          <w:rFonts w:ascii="Times New Roman" w:hAnsi="Times New Roman" w:cs="Times New Roman"/>
          <w:sz w:val="28"/>
          <w:szCs w:val="28"/>
        </w:rPr>
        <w:t>«</w:t>
      </w:r>
      <w:r>
        <w:rPr>
          <w:rFonts w:ascii="Times New Roman" w:hAnsi="Times New Roman" w:cs="Times New Roman"/>
          <w:sz w:val="28"/>
          <w:szCs w:val="28"/>
        </w:rPr>
        <w:t>Развитие общественно-муниципального партнерства</w:t>
      </w:r>
      <w:r>
        <w:rPr>
          <w:rFonts w:ascii="Times New Roman" w:hAnsi="Times New Roman" w:cs="Times New Roman"/>
          <w:sz w:val="28"/>
          <w:szCs w:val="28"/>
        </w:rPr>
        <w:t>»</w:t>
      </w:r>
      <w:r>
        <w:rPr>
          <w:rFonts w:ascii="Times New Roman" w:hAnsi="Times New Roman" w:cs="Times New Roman"/>
          <w:sz w:val="28"/>
          <w:szCs w:val="28"/>
        </w:rPr>
        <w:t>:</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количество проведенных заседаний Координационного совета по развитию и поддержке инициатив гражданского общества при администрации города Комсомольска-на-Амуре и Общественного совета городского округа </w:t>
      </w:r>
      <w:r>
        <w:rPr>
          <w:rFonts w:ascii="Times New Roman" w:hAnsi="Times New Roman" w:cs="Times New Roman"/>
          <w:sz w:val="28"/>
          <w:szCs w:val="28"/>
        </w:rPr>
        <w:t>«</w:t>
      </w:r>
      <w:r>
        <w:rPr>
          <w:rFonts w:ascii="Times New Roman" w:hAnsi="Times New Roman" w:cs="Times New Roman"/>
          <w:sz w:val="28"/>
          <w:szCs w:val="28"/>
        </w:rPr>
        <w:t>Город Комсомольск-на-Амуре</w:t>
      </w:r>
      <w:r>
        <w:rPr>
          <w:rFonts w:ascii="Times New Roman" w:hAnsi="Times New Roman" w:cs="Times New Roman"/>
          <w:sz w:val="28"/>
          <w:szCs w:val="28"/>
        </w:rPr>
        <w:t>»</w:t>
      </w:r>
      <w:r>
        <w:rPr>
          <w:rFonts w:ascii="Times New Roman" w:hAnsi="Times New Roman" w:cs="Times New Roman"/>
          <w:sz w:val="28"/>
          <w:szCs w:val="28"/>
        </w:rPr>
        <w:t xml:space="preserve"> не менее 6 ежегодно.</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В рамках задачи III </w:t>
      </w:r>
      <w:r>
        <w:rPr>
          <w:rFonts w:ascii="Times New Roman" w:hAnsi="Times New Roman" w:cs="Times New Roman"/>
          <w:sz w:val="28"/>
          <w:szCs w:val="28"/>
        </w:rPr>
        <w:t>«</w:t>
      </w:r>
      <w:r>
        <w:rPr>
          <w:rFonts w:ascii="Times New Roman" w:hAnsi="Times New Roman" w:cs="Times New Roman"/>
          <w:sz w:val="28"/>
          <w:szCs w:val="28"/>
        </w:rPr>
        <w:t>Обеспечение условий эффективного функционирования институтов гражданского общества посредством оказания муниципальной поддержки</w:t>
      </w:r>
      <w:r>
        <w:rPr>
          <w:rFonts w:ascii="Times New Roman" w:hAnsi="Times New Roman" w:cs="Times New Roman"/>
          <w:sz w:val="28"/>
          <w:szCs w:val="28"/>
        </w:rPr>
        <w:t>»</w:t>
      </w:r>
      <w:r>
        <w:rPr>
          <w:rFonts w:ascii="Times New Roman" w:hAnsi="Times New Roman" w:cs="Times New Roman"/>
          <w:sz w:val="28"/>
          <w:szCs w:val="28"/>
        </w:rPr>
        <w:t>:</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сохранение количества СОНКО, ставших получателями финансовой поддержки и включенных в муниципальный реестр СОНКО - получателей поддержки на уровне не менее 8 организаций;</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оказание ежегодной имущественной поддержки СОНКО путем передачи в пользование муниципального имущества на уровне не менее 20 организаций;</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организация и проведение ежегодного муниципального конкурса социально значимых инициатив.</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В рамках задачи IV </w:t>
      </w:r>
      <w:r>
        <w:rPr>
          <w:rFonts w:ascii="Times New Roman" w:hAnsi="Times New Roman" w:cs="Times New Roman"/>
          <w:sz w:val="28"/>
          <w:szCs w:val="28"/>
        </w:rPr>
        <w:t>«</w:t>
      </w:r>
      <w:r>
        <w:rPr>
          <w:rFonts w:ascii="Times New Roman" w:hAnsi="Times New Roman" w:cs="Times New Roman"/>
          <w:sz w:val="28"/>
          <w:szCs w:val="28"/>
        </w:rPr>
        <w:t>Вовлечение населения в решение вопросов местного значения города Комсомольска-на-Амуре:</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увеличение количества проведенных круглых столов, семинаров для представителей общественности до 27 мероприятий;</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сохранение количества активистов ТОС и граждан, активно участвующих в осуществлении местного самоуправления на территории городского округа, получивших денежное поощрение от администрации города на уровне не менее 30 человек.</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p>
    <w:p w:rsidR="00CD7103" w:rsidRDefault="00CD7103" w:rsidP="00CD7103">
      <w:pPr>
        <w:autoSpaceDE w:val="0"/>
        <w:autoSpaceDN w:val="0"/>
        <w:adjustRightInd w:val="0"/>
        <w:spacing w:after="0" w:line="240" w:lineRule="auto"/>
        <w:ind w:firstLine="709"/>
        <w:jc w:val="center"/>
        <w:outlineLvl w:val="1"/>
        <w:rPr>
          <w:rFonts w:ascii="Times New Roman" w:hAnsi="Times New Roman" w:cs="Times New Roman"/>
          <w:b/>
          <w:bCs/>
          <w:sz w:val="28"/>
          <w:szCs w:val="28"/>
        </w:rPr>
      </w:pPr>
      <w:r>
        <w:rPr>
          <w:rFonts w:ascii="Times New Roman" w:hAnsi="Times New Roman" w:cs="Times New Roman"/>
          <w:b/>
          <w:bCs/>
          <w:sz w:val="28"/>
          <w:szCs w:val="28"/>
        </w:rPr>
        <w:t>4. Сроки и этапы реализации муниципальной программы</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Программа реализуется в один этап в 2020 - 2024 годы.</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p>
    <w:p w:rsidR="00CD7103" w:rsidRDefault="00CD7103" w:rsidP="00CD7103">
      <w:pPr>
        <w:autoSpaceDE w:val="0"/>
        <w:autoSpaceDN w:val="0"/>
        <w:adjustRightInd w:val="0"/>
        <w:spacing w:after="0" w:line="240" w:lineRule="auto"/>
        <w:ind w:firstLine="709"/>
        <w:jc w:val="center"/>
        <w:outlineLvl w:val="1"/>
        <w:rPr>
          <w:rFonts w:ascii="Times New Roman" w:hAnsi="Times New Roman" w:cs="Times New Roman"/>
          <w:b/>
          <w:bCs/>
          <w:sz w:val="28"/>
          <w:szCs w:val="28"/>
        </w:rPr>
      </w:pPr>
      <w:r>
        <w:rPr>
          <w:rFonts w:ascii="Times New Roman" w:hAnsi="Times New Roman" w:cs="Times New Roman"/>
          <w:b/>
          <w:bCs/>
          <w:sz w:val="28"/>
          <w:szCs w:val="28"/>
        </w:rPr>
        <w:t>5. Перечень показателей (индикаторов)</w:t>
      </w:r>
    </w:p>
    <w:p w:rsidR="00CD7103" w:rsidRDefault="00CD7103" w:rsidP="00CD7103">
      <w:pPr>
        <w:autoSpaceDE w:val="0"/>
        <w:autoSpaceDN w:val="0"/>
        <w:adjustRightInd w:val="0"/>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муниципальной программы</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Методика сбора информации и расчета целевых показателей (индикаторов) эффективности, источником информации для которых не являются данные статистического наблюдения:</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p>
    <w:tbl>
      <w:tblPr>
        <w:tblW w:w="9701" w:type="dxa"/>
        <w:tblLayout w:type="fixed"/>
        <w:tblCellMar>
          <w:top w:w="102" w:type="dxa"/>
          <w:left w:w="62" w:type="dxa"/>
          <w:bottom w:w="102" w:type="dxa"/>
          <w:right w:w="62" w:type="dxa"/>
        </w:tblCellMar>
        <w:tblLook w:val="0000" w:firstRow="0" w:lastRow="0" w:firstColumn="0" w:lastColumn="0" w:noHBand="0" w:noVBand="0"/>
      </w:tblPr>
      <w:tblGrid>
        <w:gridCol w:w="510"/>
        <w:gridCol w:w="2777"/>
        <w:gridCol w:w="2587"/>
        <w:gridCol w:w="1418"/>
        <w:gridCol w:w="2409"/>
      </w:tblGrid>
      <w:tr w:rsidR="00CD7103" w:rsidTr="00CD7103">
        <w:tc>
          <w:tcPr>
            <w:tcW w:w="510"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N п/п</w:t>
            </w:r>
          </w:p>
        </w:tc>
        <w:tc>
          <w:tcPr>
            <w:tcW w:w="2777"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Наименование показателя (индикатора)</w:t>
            </w:r>
          </w:p>
        </w:tc>
        <w:tc>
          <w:tcPr>
            <w:tcW w:w="2587"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Методика расчета показателя (индикатора)</w:t>
            </w:r>
          </w:p>
        </w:tc>
        <w:tc>
          <w:tcPr>
            <w:tcW w:w="1418"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Перио</w:t>
            </w:r>
            <w:r>
              <w:rPr>
                <w:rFonts w:ascii="Times New Roman" w:hAnsi="Times New Roman" w:cs="Times New Roman"/>
                <w:sz w:val="28"/>
                <w:szCs w:val="28"/>
              </w:rPr>
              <w:t>-</w:t>
            </w:r>
            <w:r>
              <w:rPr>
                <w:rFonts w:ascii="Times New Roman" w:hAnsi="Times New Roman" w:cs="Times New Roman"/>
                <w:sz w:val="28"/>
                <w:szCs w:val="28"/>
              </w:rPr>
              <w:t>дичность сбора данных</w:t>
            </w:r>
          </w:p>
        </w:tc>
        <w:tc>
          <w:tcPr>
            <w:tcW w:w="2409"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Источник информации</w:t>
            </w:r>
          </w:p>
        </w:tc>
      </w:tr>
      <w:tr w:rsidR="00CD7103" w:rsidTr="00CD7103">
        <w:tc>
          <w:tcPr>
            <w:tcW w:w="510"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2777"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2587"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1418"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2409"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5</w:t>
            </w:r>
          </w:p>
        </w:tc>
      </w:tr>
      <w:tr w:rsidR="00CD7103" w:rsidTr="00CD7103">
        <w:tc>
          <w:tcPr>
            <w:tcW w:w="510"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1.</w:t>
            </w:r>
          </w:p>
        </w:tc>
        <w:tc>
          <w:tcPr>
            <w:tcW w:w="2777"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Количество вновь зарегистрированных НКО</w:t>
            </w:r>
          </w:p>
        </w:tc>
        <w:tc>
          <w:tcPr>
            <w:tcW w:w="2587"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Значение показателя рассчитывается в соответствии с данными Главного управления юстиции РФ по Хабаровскому краю и ЕАО</w:t>
            </w:r>
          </w:p>
        </w:tc>
        <w:tc>
          <w:tcPr>
            <w:tcW w:w="1418"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На 31 декабря отчетного года</w:t>
            </w:r>
          </w:p>
        </w:tc>
        <w:tc>
          <w:tcPr>
            <w:tcW w:w="2409"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Реестр Главного управления юстиции РФ по Хабаровскому краю и ЕАО</w:t>
            </w:r>
          </w:p>
        </w:tc>
      </w:tr>
      <w:tr w:rsidR="00CD7103" w:rsidTr="00CD7103">
        <w:tc>
          <w:tcPr>
            <w:tcW w:w="510"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2.</w:t>
            </w:r>
          </w:p>
        </w:tc>
        <w:tc>
          <w:tcPr>
            <w:tcW w:w="2777"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Количество граждан, вовлеченных в деятельность ТОС</w:t>
            </w:r>
          </w:p>
        </w:tc>
        <w:tc>
          <w:tcPr>
            <w:tcW w:w="2587"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Значение показателя рассчитывается путем арифметического подсчета фактического количества граждан, вовлеченных в деятельность ТОС</w:t>
            </w:r>
          </w:p>
        </w:tc>
        <w:tc>
          <w:tcPr>
            <w:tcW w:w="1418"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На 31 декабря отчетного года</w:t>
            </w:r>
          </w:p>
        </w:tc>
        <w:tc>
          <w:tcPr>
            <w:tcW w:w="2409"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Отдел по работе с населением администрации города</w:t>
            </w:r>
          </w:p>
        </w:tc>
      </w:tr>
      <w:tr w:rsidR="00CD7103" w:rsidTr="00CD7103">
        <w:tc>
          <w:tcPr>
            <w:tcW w:w="510"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3.</w:t>
            </w:r>
          </w:p>
        </w:tc>
        <w:tc>
          <w:tcPr>
            <w:tcW w:w="2777"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Количество СОНКО, ставших получателями финансовой поддержки и включенных в муниципальный реестр СОНКО - получателей поддержки</w:t>
            </w:r>
          </w:p>
        </w:tc>
        <w:tc>
          <w:tcPr>
            <w:tcW w:w="2587"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Значение показателя рассчитывается в соответствии с данными реестра СОНКО - получателей поддержки</w:t>
            </w:r>
          </w:p>
        </w:tc>
        <w:tc>
          <w:tcPr>
            <w:tcW w:w="1418"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На 31 декабря отчетного года</w:t>
            </w:r>
          </w:p>
        </w:tc>
        <w:tc>
          <w:tcPr>
            <w:tcW w:w="2409"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Организационный отдел администрации города</w:t>
            </w:r>
          </w:p>
        </w:tc>
      </w:tr>
      <w:tr w:rsidR="00CD7103" w:rsidTr="00CD7103">
        <w:tc>
          <w:tcPr>
            <w:tcW w:w="510"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4.</w:t>
            </w:r>
          </w:p>
        </w:tc>
        <w:tc>
          <w:tcPr>
            <w:tcW w:w="2777"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Количество СОНКО, получивших имущественную поддержку путем передачи в пользование муниципального имущества</w:t>
            </w:r>
          </w:p>
        </w:tc>
        <w:tc>
          <w:tcPr>
            <w:tcW w:w="2587"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Значение показателя рассчитывается в соответствии с данными Перечня пользователей муниципального имущества</w:t>
            </w:r>
          </w:p>
        </w:tc>
        <w:tc>
          <w:tcPr>
            <w:tcW w:w="1418"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На 31 декабря отчетного года</w:t>
            </w:r>
          </w:p>
        </w:tc>
        <w:tc>
          <w:tcPr>
            <w:tcW w:w="2409"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Комитет по управлению имуществом администрации города</w:t>
            </w:r>
          </w:p>
        </w:tc>
      </w:tr>
      <w:tr w:rsidR="00CD7103" w:rsidTr="00CD7103">
        <w:tc>
          <w:tcPr>
            <w:tcW w:w="510"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5.</w:t>
            </w:r>
          </w:p>
        </w:tc>
        <w:tc>
          <w:tcPr>
            <w:tcW w:w="2777"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Организация и проведение ежегодного муниципального конкурса социально значимых инициатив</w:t>
            </w:r>
          </w:p>
        </w:tc>
        <w:tc>
          <w:tcPr>
            <w:tcW w:w="2587"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Значение показателя рассчитывается по итогам проведения муниципального конкурса</w:t>
            </w:r>
          </w:p>
        </w:tc>
        <w:tc>
          <w:tcPr>
            <w:tcW w:w="1418"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На 31 декабря отчетного года</w:t>
            </w:r>
          </w:p>
        </w:tc>
        <w:tc>
          <w:tcPr>
            <w:tcW w:w="2409"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Организационный отдел администрации города</w:t>
            </w:r>
          </w:p>
        </w:tc>
      </w:tr>
      <w:tr w:rsidR="00CD7103" w:rsidTr="00CD7103">
        <w:tc>
          <w:tcPr>
            <w:tcW w:w="510"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6.</w:t>
            </w:r>
          </w:p>
        </w:tc>
        <w:tc>
          <w:tcPr>
            <w:tcW w:w="2777"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Количество круглых столов, семинаров, проведенных для представителей общественности</w:t>
            </w:r>
          </w:p>
        </w:tc>
        <w:tc>
          <w:tcPr>
            <w:tcW w:w="2587"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Значение показателя рассчитывается путем подсчета данных по итогам проведения мероприятий</w:t>
            </w:r>
          </w:p>
        </w:tc>
        <w:tc>
          <w:tcPr>
            <w:tcW w:w="1418"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На 31 декабря отчетного года</w:t>
            </w:r>
          </w:p>
        </w:tc>
        <w:tc>
          <w:tcPr>
            <w:tcW w:w="2409"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Отдел по работе с населением администрации города</w:t>
            </w:r>
          </w:p>
        </w:tc>
      </w:tr>
      <w:tr w:rsidR="00CD7103" w:rsidTr="00CD7103">
        <w:tc>
          <w:tcPr>
            <w:tcW w:w="510"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7.</w:t>
            </w:r>
          </w:p>
        </w:tc>
        <w:tc>
          <w:tcPr>
            <w:tcW w:w="2777"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Количество активистов ТОС и граждан, активно участвующих в осуществлении местного самоуправления на территории города Комсомольска-на-Амуре, получивших </w:t>
            </w:r>
            <w:r>
              <w:rPr>
                <w:rFonts w:ascii="Times New Roman" w:hAnsi="Times New Roman" w:cs="Times New Roman"/>
                <w:sz w:val="28"/>
                <w:szCs w:val="28"/>
              </w:rPr>
              <w:lastRenderedPageBreak/>
              <w:t>денежное поощрение</w:t>
            </w:r>
          </w:p>
        </w:tc>
        <w:tc>
          <w:tcPr>
            <w:tcW w:w="2587"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Значение показателя рассчитывается в соответствии с Протоколами заседания комиссии</w:t>
            </w:r>
          </w:p>
        </w:tc>
        <w:tc>
          <w:tcPr>
            <w:tcW w:w="1418"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На 31 декабря отчетного года</w:t>
            </w:r>
          </w:p>
        </w:tc>
        <w:tc>
          <w:tcPr>
            <w:tcW w:w="2409"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Отдел по работе с населением администрации города</w:t>
            </w:r>
          </w:p>
        </w:tc>
      </w:tr>
      <w:tr w:rsidR="00CD7103" w:rsidTr="00CD7103">
        <w:tc>
          <w:tcPr>
            <w:tcW w:w="510"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8.</w:t>
            </w:r>
          </w:p>
        </w:tc>
        <w:tc>
          <w:tcPr>
            <w:tcW w:w="2777"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Количество информационных материалов, опубликованных в СМИ, посвященных социально значимой деятельности НКО и вопросам развития инициатив гражданского общества</w:t>
            </w:r>
          </w:p>
        </w:tc>
        <w:tc>
          <w:tcPr>
            <w:tcW w:w="2587"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Значение показателя рассчитывается путем подсчета количества опубликованных материалов в СМИ</w:t>
            </w:r>
          </w:p>
        </w:tc>
        <w:tc>
          <w:tcPr>
            <w:tcW w:w="1418"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На 31 декабря отчетного года</w:t>
            </w:r>
          </w:p>
        </w:tc>
        <w:tc>
          <w:tcPr>
            <w:tcW w:w="2409"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Сектор пресс-службы администрации города</w:t>
            </w:r>
          </w:p>
        </w:tc>
      </w:tr>
      <w:tr w:rsidR="00CD7103" w:rsidTr="00CD7103">
        <w:tc>
          <w:tcPr>
            <w:tcW w:w="510"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9.</w:t>
            </w:r>
          </w:p>
        </w:tc>
        <w:tc>
          <w:tcPr>
            <w:tcW w:w="2777"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Количество проведенных заседаний Координационного совета по развитию и поддержке инициатив гражданского общества при администрации города Комсомольска-на-Амуре и Общественного совета города Комсомольска-на-Амуре</w:t>
            </w:r>
          </w:p>
        </w:tc>
        <w:tc>
          <w:tcPr>
            <w:tcW w:w="2587"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Значение показателя рассчитывается путем подсчета количества проведенных заседаний</w:t>
            </w:r>
          </w:p>
        </w:tc>
        <w:tc>
          <w:tcPr>
            <w:tcW w:w="1418"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На 31 декабря отчетного года</w:t>
            </w:r>
          </w:p>
        </w:tc>
        <w:tc>
          <w:tcPr>
            <w:tcW w:w="2409" w:type="dxa"/>
            <w:tcBorders>
              <w:top w:val="single" w:sz="4" w:space="0" w:color="auto"/>
              <w:left w:val="single" w:sz="4" w:space="0" w:color="auto"/>
              <w:bottom w:val="single" w:sz="4" w:space="0" w:color="auto"/>
              <w:right w:val="single" w:sz="4" w:space="0" w:color="auto"/>
            </w:tcBorders>
          </w:tcPr>
          <w:p w:rsidR="00CD7103" w:rsidRDefault="00CD7103" w:rsidP="00CD710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Организационный отдел администрации города</w:t>
            </w:r>
          </w:p>
        </w:tc>
      </w:tr>
    </w:tbl>
    <w:p w:rsidR="00CD7103" w:rsidRDefault="00CD7103" w:rsidP="00CD7103">
      <w:pPr>
        <w:autoSpaceDE w:val="0"/>
        <w:autoSpaceDN w:val="0"/>
        <w:adjustRightInd w:val="0"/>
        <w:spacing w:after="0" w:line="240" w:lineRule="auto"/>
        <w:jc w:val="both"/>
        <w:rPr>
          <w:rFonts w:ascii="Times New Roman" w:hAnsi="Times New Roman" w:cs="Times New Roman"/>
          <w:sz w:val="28"/>
          <w:szCs w:val="28"/>
        </w:rPr>
      </w:pP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hyperlink r:id="rId21" w:history="1">
        <w:r>
          <w:rPr>
            <w:rFonts w:ascii="Times New Roman" w:hAnsi="Times New Roman" w:cs="Times New Roman"/>
            <w:color w:val="0000FF"/>
            <w:sz w:val="28"/>
            <w:szCs w:val="28"/>
          </w:rPr>
          <w:t>Сведения</w:t>
        </w:r>
      </w:hyperlink>
      <w:r>
        <w:rPr>
          <w:rFonts w:ascii="Times New Roman" w:hAnsi="Times New Roman" w:cs="Times New Roman"/>
          <w:sz w:val="28"/>
          <w:szCs w:val="28"/>
        </w:rPr>
        <w:t xml:space="preserve"> о показателях (индикаторов) эффективности реализации муниципальной программы </w:t>
      </w:r>
      <w:r>
        <w:rPr>
          <w:rFonts w:ascii="Times New Roman" w:hAnsi="Times New Roman" w:cs="Times New Roman"/>
          <w:sz w:val="28"/>
          <w:szCs w:val="28"/>
        </w:rPr>
        <w:t>«</w:t>
      </w:r>
      <w:r>
        <w:rPr>
          <w:rFonts w:ascii="Times New Roman" w:hAnsi="Times New Roman" w:cs="Times New Roman"/>
          <w:sz w:val="28"/>
          <w:szCs w:val="28"/>
        </w:rPr>
        <w:t>Содействие развитию и поддержка общественных объединений и некоммерческих организаций в городе Комсомольске-на-Амуре</w:t>
      </w:r>
      <w:r>
        <w:rPr>
          <w:rFonts w:ascii="Times New Roman" w:hAnsi="Times New Roman" w:cs="Times New Roman"/>
          <w:sz w:val="28"/>
          <w:szCs w:val="28"/>
        </w:rPr>
        <w:t>»</w:t>
      </w:r>
      <w:r>
        <w:rPr>
          <w:rFonts w:ascii="Times New Roman" w:hAnsi="Times New Roman" w:cs="Times New Roman"/>
          <w:sz w:val="28"/>
          <w:szCs w:val="28"/>
        </w:rPr>
        <w:t xml:space="preserve"> приведены в приложении N 1 к настоящей Программе.</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p>
    <w:p w:rsidR="00CD7103" w:rsidRDefault="00CD7103" w:rsidP="00CD7103">
      <w:pPr>
        <w:autoSpaceDE w:val="0"/>
        <w:autoSpaceDN w:val="0"/>
        <w:adjustRightInd w:val="0"/>
        <w:spacing w:after="0" w:line="240" w:lineRule="auto"/>
        <w:ind w:firstLine="709"/>
        <w:jc w:val="center"/>
        <w:outlineLvl w:val="1"/>
        <w:rPr>
          <w:rFonts w:ascii="Times New Roman" w:hAnsi="Times New Roman" w:cs="Times New Roman"/>
          <w:b/>
          <w:bCs/>
          <w:sz w:val="28"/>
          <w:szCs w:val="28"/>
        </w:rPr>
      </w:pPr>
      <w:r>
        <w:rPr>
          <w:rFonts w:ascii="Times New Roman" w:hAnsi="Times New Roman" w:cs="Times New Roman"/>
          <w:b/>
          <w:bCs/>
          <w:sz w:val="28"/>
          <w:szCs w:val="28"/>
        </w:rPr>
        <w:t>6. Краткое описание основных мероприятий</w:t>
      </w:r>
    </w:p>
    <w:p w:rsidR="00CD7103" w:rsidRDefault="00CD7103" w:rsidP="00CD7103">
      <w:pPr>
        <w:autoSpaceDE w:val="0"/>
        <w:autoSpaceDN w:val="0"/>
        <w:adjustRightInd w:val="0"/>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муниципальной программы</w:t>
      </w:r>
    </w:p>
    <w:p w:rsidR="00CD7103" w:rsidRDefault="00CD7103" w:rsidP="00CD7103">
      <w:pPr>
        <w:autoSpaceDE w:val="0"/>
        <w:autoSpaceDN w:val="0"/>
        <w:adjustRightInd w:val="0"/>
        <w:spacing w:after="0" w:line="240" w:lineRule="auto"/>
        <w:ind w:firstLine="709"/>
        <w:jc w:val="center"/>
        <w:rPr>
          <w:rFonts w:ascii="Times New Roman" w:hAnsi="Times New Roman" w:cs="Times New Roman"/>
          <w:sz w:val="28"/>
          <w:szCs w:val="28"/>
        </w:rPr>
      </w:pP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Для достижения поставленной цели и решения задач Программы необходимо реализовать комплекс основных мероприятий:</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методическое и организационное сопровождение системы поддержки деятельности институтов гражданского общества;</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формирование механизмов взаимодействия администрации города и институтов гражданского общества;</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3. предоставление муниципальной поддержки общественным объединениям, некоммерческим организациям, поддержка инициатив гражданского общества;</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формирование условий для участия населения в решении вопросов местного значения.</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hyperlink r:id="rId22" w:history="1">
        <w:r>
          <w:rPr>
            <w:rFonts w:ascii="Times New Roman" w:hAnsi="Times New Roman" w:cs="Times New Roman"/>
            <w:color w:val="0000FF"/>
            <w:sz w:val="28"/>
            <w:szCs w:val="28"/>
          </w:rPr>
          <w:t>Перечень</w:t>
        </w:r>
      </w:hyperlink>
      <w:r>
        <w:rPr>
          <w:rFonts w:ascii="Times New Roman" w:hAnsi="Times New Roman" w:cs="Times New Roman"/>
          <w:sz w:val="28"/>
          <w:szCs w:val="28"/>
        </w:rPr>
        <w:t xml:space="preserve"> программных мероприятий муниципальной программы </w:t>
      </w:r>
      <w:r>
        <w:rPr>
          <w:rFonts w:ascii="Times New Roman" w:hAnsi="Times New Roman" w:cs="Times New Roman"/>
          <w:sz w:val="28"/>
          <w:szCs w:val="28"/>
        </w:rPr>
        <w:t>«</w:t>
      </w:r>
      <w:r>
        <w:rPr>
          <w:rFonts w:ascii="Times New Roman" w:hAnsi="Times New Roman" w:cs="Times New Roman"/>
          <w:sz w:val="28"/>
          <w:szCs w:val="28"/>
        </w:rPr>
        <w:t>Содействие развитию и поддержка общественных объединений и некоммерческих организаций в городе Комсомольске-на-Амуре</w:t>
      </w:r>
      <w:r>
        <w:rPr>
          <w:rFonts w:ascii="Times New Roman" w:hAnsi="Times New Roman" w:cs="Times New Roman"/>
          <w:sz w:val="28"/>
          <w:szCs w:val="28"/>
        </w:rPr>
        <w:t>»</w:t>
      </w:r>
      <w:r>
        <w:rPr>
          <w:rFonts w:ascii="Times New Roman" w:hAnsi="Times New Roman" w:cs="Times New Roman"/>
          <w:sz w:val="28"/>
          <w:szCs w:val="28"/>
        </w:rPr>
        <w:t xml:space="preserve"> приведен в приложении N 2 к настоящей Программе.</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p>
    <w:p w:rsidR="00CD7103" w:rsidRDefault="00CD7103" w:rsidP="00CD7103">
      <w:pPr>
        <w:autoSpaceDE w:val="0"/>
        <w:autoSpaceDN w:val="0"/>
        <w:adjustRightInd w:val="0"/>
        <w:spacing w:after="0" w:line="240" w:lineRule="auto"/>
        <w:ind w:firstLine="709"/>
        <w:jc w:val="center"/>
        <w:outlineLvl w:val="1"/>
        <w:rPr>
          <w:rFonts w:ascii="Times New Roman" w:hAnsi="Times New Roman" w:cs="Times New Roman"/>
          <w:b/>
          <w:bCs/>
          <w:sz w:val="28"/>
          <w:szCs w:val="28"/>
        </w:rPr>
      </w:pPr>
      <w:r>
        <w:rPr>
          <w:rFonts w:ascii="Times New Roman" w:hAnsi="Times New Roman" w:cs="Times New Roman"/>
          <w:b/>
          <w:bCs/>
          <w:sz w:val="28"/>
          <w:szCs w:val="28"/>
        </w:rPr>
        <w:t>7. Основные меры правового регулирования</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рамках Программы реализуются меры по совершенствованию правового регулирования в сфере развития и поддержки гражданских инициатив, а именно разработаны и предлагается разработка нормативных правовых актов, регулирующих порядок:</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определения объема и предоставления субсидии победителям конкурса социально значимых инициатив среди СОНКО;</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определения объема и предоставления субсидий из местного бюджета для финансового обеспечения коммунальных платежей СОНКО;</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определения условий предоставления субсидий ТОС из местного бюджета, полученных по итогам краевого конкурса проектов;</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определения условий предоставления грантов в форме субсидий физическим лицам на реализацию проектов ТОС, полученных по итогам краевого конкурса проектов.</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hyperlink r:id="rId23" w:history="1">
        <w:r>
          <w:rPr>
            <w:rFonts w:ascii="Times New Roman" w:hAnsi="Times New Roman" w:cs="Times New Roman"/>
            <w:color w:val="0000FF"/>
            <w:sz w:val="28"/>
            <w:szCs w:val="28"/>
          </w:rPr>
          <w:t>Сведения</w:t>
        </w:r>
      </w:hyperlink>
      <w:r>
        <w:rPr>
          <w:rFonts w:ascii="Times New Roman" w:hAnsi="Times New Roman" w:cs="Times New Roman"/>
          <w:sz w:val="28"/>
          <w:szCs w:val="28"/>
        </w:rPr>
        <w:t xml:space="preserve"> об основных мерах правового регулирования муниципальной программы </w:t>
      </w:r>
      <w:r>
        <w:rPr>
          <w:rFonts w:ascii="Times New Roman" w:hAnsi="Times New Roman" w:cs="Times New Roman"/>
          <w:sz w:val="28"/>
          <w:szCs w:val="28"/>
        </w:rPr>
        <w:t>«</w:t>
      </w:r>
      <w:r>
        <w:rPr>
          <w:rFonts w:ascii="Times New Roman" w:hAnsi="Times New Roman" w:cs="Times New Roman"/>
          <w:sz w:val="28"/>
          <w:szCs w:val="28"/>
        </w:rPr>
        <w:t xml:space="preserve">Содействие развитию и поддержка общественных объединений и некоммерческих организаций в городском округе </w:t>
      </w:r>
      <w:r>
        <w:rPr>
          <w:rFonts w:ascii="Times New Roman" w:hAnsi="Times New Roman" w:cs="Times New Roman"/>
          <w:sz w:val="28"/>
          <w:szCs w:val="28"/>
        </w:rPr>
        <w:t>«</w:t>
      </w:r>
      <w:r>
        <w:rPr>
          <w:rFonts w:ascii="Times New Roman" w:hAnsi="Times New Roman" w:cs="Times New Roman"/>
          <w:sz w:val="28"/>
          <w:szCs w:val="28"/>
        </w:rPr>
        <w:t>Город Комсомольск-на-Амуре</w:t>
      </w:r>
      <w:r>
        <w:rPr>
          <w:rFonts w:ascii="Times New Roman" w:hAnsi="Times New Roman" w:cs="Times New Roman"/>
          <w:sz w:val="28"/>
          <w:szCs w:val="28"/>
        </w:rPr>
        <w:t>»</w:t>
      </w:r>
      <w:r>
        <w:rPr>
          <w:rFonts w:ascii="Times New Roman" w:hAnsi="Times New Roman" w:cs="Times New Roman"/>
          <w:sz w:val="28"/>
          <w:szCs w:val="28"/>
        </w:rPr>
        <w:t xml:space="preserve"> приведены в приложении N 3 к настоящей Программе.</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p>
    <w:p w:rsidR="00CD7103" w:rsidRDefault="00CD7103" w:rsidP="00CD7103">
      <w:pPr>
        <w:autoSpaceDE w:val="0"/>
        <w:autoSpaceDN w:val="0"/>
        <w:adjustRightInd w:val="0"/>
        <w:spacing w:after="0" w:line="240" w:lineRule="auto"/>
        <w:ind w:firstLine="709"/>
        <w:jc w:val="center"/>
        <w:outlineLvl w:val="1"/>
        <w:rPr>
          <w:rFonts w:ascii="Times New Roman" w:hAnsi="Times New Roman" w:cs="Times New Roman"/>
          <w:b/>
          <w:bCs/>
          <w:sz w:val="28"/>
          <w:szCs w:val="28"/>
        </w:rPr>
      </w:pPr>
      <w:r>
        <w:rPr>
          <w:rFonts w:ascii="Times New Roman" w:hAnsi="Times New Roman" w:cs="Times New Roman"/>
          <w:b/>
          <w:bCs/>
          <w:sz w:val="28"/>
          <w:szCs w:val="28"/>
        </w:rPr>
        <w:t>8. Ресурсное обеспечение реализации муниципальной программы</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Общий объем финансирования на реализацию Программы составляет</w:t>
      </w:r>
    </w:p>
    <w:p w:rsidR="00CD7103" w:rsidRDefault="00CD7103" w:rsidP="00CD7103">
      <w:pPr>
        <w:autoSpaceDE w:val="0"/>
        <w:autoSpaceDN w:val="0"/>
        <w:adjustRightInd w:val="0"/>
        <w:spacing w:after="0" w:line="240" w:lineRule="auto"/>
        <w:jc w:val="both"/>
        <w:rPr>
          <w:rFonts w:ascii="Times New Roman" w:hAnsi="Times New Roman" w:cs="Times New Roman"/>
          <w:sz w:val="28"/>
          <w:szCs w:val="28"/>
        </w:rPr>
      </w:pPr>
      <w:bookmarkStart w:id="0" w:name="_GoBack"/>
      <w:bookmarkEnd w:id="0"/>
      <w:r>
        <w:rPr>
          <w:rFonts w:ascii="Times New Roman" w:hAnsi="Times New Roman" w:cs="Times New Roman"/>
          <w:sz w:val="28"/>
          <w:szCs w:val="28"/>
        </w:rPr>
        <w:t>26 039,30 тыс. руб., из них:</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2020 году - 3 999,30 тыс. руб.;</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2021 году - 5 510,00 тыс. руб.;</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2022 году - 5 510,00 тыс. руб.;</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2023 году - 5 510,00 тыс. руб.;</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2024 году - 5 510,00 тыс. руб.</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Объем средств местного бюджета на реализацию Программы составляет </w:t>
      </w:r>
    </w:p>
    <w:p w:rsidR="00CD7103" w:rsidRDefault="00CD7103" w:rsidP="00CD710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2 371,32 тыс. руб., из них:</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2020 году - 771,32 тыс. руб.;</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2021 году - 400,00 тыс. руб.;</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2022 году - 400,00 тыс. руб.;</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2023 году - 400,00 тыс. руб.;</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 2024 году - 400,00 тыс. руб.</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Объем средств краевого бюджета (по согласованию) на реализацию Программы составляет 23 667,98 тыс. руб., из них:</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2020 году - 3 227,98 тыс. руб.;</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2021 году - 5 110,00 тыс. руб.;</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2022 году - 5 110,00 тыс. руб.;</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2023 году - 5 110,00 тыс. руб.;</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2024 году - 5 110,00 тыс. руб.</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Информация о ресурсном </w:t>
      </w:r>
      <w:hyperlink r:id="rId24" w:history="1">
        <w:r>
          <w:rPr>
            <w:rFonts w:ascii="Times New Roman" w:hAnsi="Times New Roman" w:cs="Times New Roman"/>
            <w:color w:val="0000FF"/>
            <w:sz w:val="28"/>
            <w:szCs w:val="28"/>
          </w:rPr>
          <w:t>обеспечении</w:t>
        </w:r>
      </w:hyperlink>
      <w:r>
        <w:rPr>
          <w:rFonts w:ascii="Times New Roman" w:hAnsi="Times New Roman" w:cs="Times New Roman"/>
          <w:sz w:val="28"/>
          <w:szCs w:val="28"/>
        </w:rPr>
        <w:t xml:space="preserve"> реализации Программы за счет средств местного бюджета и прогнозная справочная оценка расходов федерального бюджета, краевого бюджета и внебюджетных средств представлена в приложении N 4 к настоящей Программе.</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Основные риски, которые могут возникнуть в ходе реализации Программы, связаны с недостаточным финансированием ее мероприятий.</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Способом ограничения рисков будет являться мониторинг целевых показателей Программы, своевременная корректировка программных мероприятий и целевых показателей в зависимости от их достигнутого состояния и объемов финансирования.</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Ежегодный объем финансирования мероприятий Программы подлежит уточнению в соответствии с бюджетом на очередной финансовый год.</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p>
    <w:p w:rsidR="00CD7103" w:rsidRDefault="00CD7103" w:rsidP="00CD7103">
      <w:pPr>
        <w:autoSpaceDE w:val="0"/>
        <w:autoSpaceDN w:val="0"/>
        <w:adjustRightInd w:val="0"/>
        <w:spacing w:after="0" w:line="240" w:lineRule="auto"/>
        <w:ind w:firstLine="709"/>
        <w:jc w:val="center"/>
        <w:outlineLvl w:val="1"/>
        <w:rPr>
          <w:rFonts w:ascii="Times New Roman" w:hAnsi="Times New Roman" w:cs="Times New Roman"/>
          <w:b/>
          <w:bCs/>
          <w:sz w:val="28"/>
          <w:szCs w:val="28"/>
        </w:rPr>
      </w:pPr>
      <w:r>
        <w:rPr>
          <w:rFonts w:ascii="Times New Roman" w:hAnsi="Times New Roman" w:cs="Times New Roman"/>
          <w:b/>
          <w:bCs/>
          <w:sz w:val="28"/>
          <w:szCs w:val="28"/>
        </w:rPr>
        <w:t>9. Механизм реализации муниципальной программы</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Механизм реализации Программы направлен на эффективное планирование хода исполнения мероприятий, координацию действий соисполнителей Программы, обеспечение контроля исполнения значений целевых показателей (индикаторов) Программы и программных мероприятий, проведение мониторинга и оценки эффективности реализации Программы, выработку решений о внесении изменений в Программу при возникновении отклонения хода работ от плана мероприятий Программы.</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Ответственный исполнитель:</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обеспечивает разработку проекта муниципальной программы, ее согласование с соисполнителями и утверждение;</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определяет соисполнителей и участников муниципальной программы;</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организует реализацию муниципальной программы, осуществляет координацию деятельности соисполнителей и участников муниципальной программы, вносит по согласованию с соисполнителями изменения в муниципальную программу и несет ответственность за достижение показателей (индикаторов) муниципальной программы, а также конечных результатов ее реализации;</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осуществляет мониторинг реализации муниципальной программы и представляет на рассмотрение и согласование заместителю главы администрации города полугодовой отчет.</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готовит годовой отчет и представляет его в управление экономического развития.</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запрашивает у соисполнителей и участников муниципальной программы информацию, необходимую для проведения мониторинга реализации муниципальной программы и подготовки годового отчета.</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несет ответственность за достоверность информации в полугодовом и годовом отчетах.</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размещает в электронном виде посредством ГАС </w:t>
      </w:r>
      <w:r>
        <w:rPr>
          <w:rFonts w:ascii="Times New Roman" w:hAnsi="Times New Roman" w:cs="Times New Roman"/>
          <w:sz w:val="28"/>
          <w:szCs w:val="28"/>
        </w:rPr>
        <w:t>«</w:t>
      </w:r>
      <w:r>
        <w:rPr>
          <w:rFonts w:ascii="Times New Roman" w:hAnsi="Times New Roman" w:cs="Times New Roman"/>
          <w:sz w:val="28"/>
          <w:szCs w:val="28"/>
        </w:rPr>
        <w:t>Управление</w:t>
      </w:r>
      <w:r>
        <w:rPr>
          <w:rFonts w:ascii="Times New Roman" w:hAnsi="Times New Roman" w:cs="Times New Roman"/>
          <w:sz w:val="28"/>
          <w:szCs w:val="28"/>
        </w:rPr>
        <w:t>»</w:t>
      </w:r>
      <w:r>
        <w:rPr>
          <w:rFonts w:ascii="Times New Roman" w:hAnsi="Times New Roman" w:cs="Times New Roman"/>
          <w:sz w:val="28"/>
          <w:szCs w:val="28"/>
        </w:rPr>
        <w:t xml:space="preserve"> отчетных данных о реализации муниципальной программы.</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Соисполнители:</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участвуют в разработке и осуществляют реализацию мероприятий муниципальной программы, в отношении которых они являются соисполнителями.</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представляют в части своей компетенции предложения ответственному исполнителю по корректировке муниципальной программы.</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в срок до 01 февраля года, следующего за отчетным, представляют ответственному исполнителю необходимую информацию для подготовки годового отчета.</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в срок до 01 июля года, следующего за отчетным, представляют ответственному исполнителю необходимую информацию для проведения мониторинга реализации муниципальной программы и подготовки полугодового отчета.</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несут ответственность, в части своей компетенции, за достоверность информации в полугодовом и годовом отчетах.</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несут ответственность за достижение показателей (индикаторов), конечных результатов реализации основных мероприятий муниципальной программы, ответственными за которые они являются.</w:t>
      </w:r>
    </w:p>
    <w:p w:rsidR="00CD7103" w:rsidRDefault="00CD7103" w:rsidP="00CD710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Внесение изменений в Программу и проведение оценки эффективности реализации Программы осуществляются ответственным исполнителем в соответствии с </w:t>
      </w:r>
      <w:hyperlink r:id="rId25" w:history="1">
        <w:r>
          <w:rPr>
            <w:rFonts w:ascii="Times New Roman" w:hAnsi="Times New Roman" w:cs="Times New Roman"/>
            <w:color w:val="0000FF"/>
            <w:sz w:val="28"/>
            <w:szCs w:val="28"/>
          </w:rPr>
          <w:t>постановлением</w:t>
        </w:r>
      </w:hyperlink>
      <w:r>
        <w:rPr>
          <w:rFonts w:ascii="Times New Roman" w:hAnsi="Times New Roman" w:cs="Times New Roman"/>
          <w:sz w:val="28"/>
          <w:szCs w:val="28"/>
        </w:rPr>
        <w:t xml:space="preserve"> администрации города Комсомольска-на-Амуре от 26 декабря 2012 г. N 4136-па </w:t>
      </w:r>
      <w:r>
        <w:rPr>
          <w:rFonts w:ascii="Times New Roman" w:hAnsi="Times New Roman" w:cs="Times New Roman"/>
          <w:sz w:val="28"/>
          <w:szCs w:val="28"/>
        </w:rPr>
        <w:t>«</w:t>
      </w:r>
      <w:r>
        <w:rPr>
          <w:rFonts w:ascii="Times New Roman" w:hAnsi="Times New Roman" w:cs="Times New Roman"/>
          <w:sz w:val="28"/>
          <w:szCs w:val="28"/>
        </w:rPr>
        <w:t xml:space="preserve">Об утверждении порядка принятия решений о разработке муниципальных программ городского округа </w:t>
      </w:r>
      <w:r>
        <w:rPr>
          <w:rFonts w:ascii="Times New Roman" w:hAnsi="Times New Roman" w:cs="Times New Roman"/>
          <w:sz w:val="28"/>
          <w:szCs w:val="28"/>
        </w:rPr>
        <w:t>«</w:t>
      </w:r>
      <w:r>
        <w:rPr>
          <w:rFonts w:ascii="Times New Roman" w:hAnsi="Times New Roman" w:cs="Times New Roman"/>
          <w:sz w:val="28"/>
          <w:szCs w:val="28"/>
        </w:rPr>
        <w:t>Город Комсомольск-на-Амуре</w:t>
      </w:r>
      <w:r>
        <w:rPr>
          <w:rFonts w:ascii="Times New Roman" w:hAnsi="Times New Roman" w:cs="Times New Roman"/>
          <w:sz w:val="28"/>
          <w:szCs w:val="28"/>
        </w:rPr>
        <w:t>»</w:t>
      </w:r>
      <w:r>
        <w:rPr>
          <w:rFonts w:ascii="Times New Roman" w:hAnsi="Times New Roman" w:cs="Times New Roman"/>
          <w:sz w:val="28"/>
          <w:szCs w:val="28"/>
        </w:rPr>
        <w:t>, их формирования, реализации и проведения оценки эффективности реализации</w:t>
      </w:r>
      <w:r>
        <w:rPr>
          <w:rFonts w:ascii="Times New Roman" w:hAnsi="Times New Roman" w:cs="Times New Roman"/>
          <w:sz w:val="28"/>
          <w:szCs w:val="28"/>
        </w:rPr>
        <w:t>»</w:t>
      </w:r>
      <w:r>
        <w:rPr>
          <w:rFonts w:ascii="Times New Roman" w:hAnsi="Times New Roman" w:cs="Times New Roman"/>
          <w:sz w:val="28"/>
          <w:szCs w:val="28"/>
        </w:rPr>
        <w:t>.</w:t>
      </w:r>
    </w:p>
    <w:p w:rsidR="009C0AAB" w:rsidRPr="00CD7103" w:rsidRDefault="009C0AAB" w:rsidP="00CD7103">
      <w:pPr>
        <w:spacing w:after="0" w:line="240" w:lineRule="auto"/>
        <w:ind w:firstLine="709"/>
      </w:pPr>
    </w:p>
    <w:sectPr w:rsidR="009C0AAB" w:rsidRPr="00CD7103" w:rsidSect="00BF647B">
      <w:headerReference w:type="even" r:id="rId26"/>
      <w:headerReference w:type="default" r:id="rId27"/>
      <w:footerReference w:type="even" r:id="rId28"/>
      <w:footerReference w:type="default" r:id="rId29"/>
      <w:headerReference w:type="first" r:id="rId30"/>
      <w:footerReference w:type="first" r:id="rId31"/>
      <w:pgSz w:w="11905" w:h="16840"/>
      <w:pgMar w:top="1134" w:right="680" w:bottom="1134" w:left="1531" w:header="454" w:footer="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250B" w:rsidRDefault="00F8250B" w:rsidP="00F8250B">
      <w:pPr>
        <w:spacing w:after="0" w:line="240" w:lineRule="auto"/>
      </w:pPr>
      <w:r>
        <w:separator/>
      </w:r>
    </w:p>
  </w:endnote>
  <w:endnote w:type="continuationSeparator" w:id="0">
    <w:p w:rsidR="00F8250B" w:rsidRDefault="00F8250B" w:rsidP="00F825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47B" w:rsidRDefault="00BF647B">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47B" w:rsidRDefault="00BF647B">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47B" w:rsidRDefault="00BF647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250B" w:rsidRDefault="00F8250B" w:rsidP="00F8250B">
      <w:pPr>
        <w:spacing w:after="0" w:line="240" w:lineRule="auto"/>
      </w:pPr>
      <w:r>
        <w:separator/>
      </w:r>
    </w:p>
  </w:footnote>
  <w:footnote w:type="continuationSeparator" w:id="0">
    <w:p w:rsidR="00F8250B" w:rsidRDefault="00F8250B" w:rsidP="00F825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47B" w:rsidRDefault="00BF647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3952551"/>
      <w:docPartObj>
        <w:docPartGallery w:val="Page Numbers (Top of Page)"/>
        <w:docPartUnique/>
      </w:docPartObj>
    </w:sdtPr>
    <w:sdtEndPr>
      <w:rPr>
        <w:rFonts w:ascii="Times New Roman" w:hAnsi="Times New Roman" w:cs="Times New Roman"/>
        <w:sz w:val="24"/>
        <w:szCs w:val="24"/>
      </w:rPr>
    </w:sdtEndPr>
    <w:sdtContent>
      <w:p w:rsidR="00F8250B" w:rsidRPr="00BF647B" w:rsidRDefault="00F8250B">
        <w:pPr>
          <w:pStyle w:val="a5"/>
          <w:jc w:val="center"/>
          <w:rPr>
            <w:rFonts w:ascii="Times New Roman" w:hAnsi="Times New Roman" w:cs="Times New Roman"/>
            <w:sz w:val="24"/>
            <w:szCs w:val="24"/>
          </w:rPr>
        </w:pPr>
        <w:r w:rsidRPr="00BF647B">
          <w:rPr>
            <w:rFonts w:ascii="Times New Roman" w:hAnsi="Times New Roman" w:cs="Times New Roman"/>
            <w:sz w:val="24"/>
            <w:szCs w:val="24"/>
          </w:rPr>
          <w:fldChar w:fldCharType="begin"/>
        </w:r>
        <w:r w:rsidRPr="00BF647B">
          <w:rPr>
            <w:rFonts w:ascii="Times New Roman" w:hAnsi="Times New Roman" w:cs="Times New Roman"/>
            <w:sz w:val="24"/>
            <w:szCs w:val="24"/>
          </w:rPr>
          <w:instrText>PAGE   \* MERGEFORMAT</w:instrText>
        </w:r>
        <w:r w:rsidRPr="00BF647B">
          <w:rPr>
            <w:rFonts w:ascii="Times New Roman" w:hAnsi="Times New Roman" w:cs="Times New Roman"/>
            <w:sz w:val="24"/>
            <w:szCs w:val="24"/>
          </w:rPr>
          <w:fldChar w:fldCharType="separate"/>
        </w:r>
        <w:r w:rsidR="00CD7103">
          <w:rPr>
            <w:rFonts w:ascii="Times New Roman" w:hAnsi="Times New Roman" w:cs="Times New Roman"/>
            <w:noProof/>
            <w:sz w:val="24"/>
            <w:szCs w:val="24"/>
          </w:rPr>
          <w:t>14</w:t>
        </w:r>
        <w:r w:rsidRPr="00BF647B">
          <w:rPr>
            <w:rFonts w:ascii="Times New Roman" w:hAnsi="Times New Roman" w:cs="Times New Roman"/>
            <w:sz w:val="24"/>
            <w:szCs w:val="24"/>
          </w:rPr>
          <w:fldChar w:fldCharType="end"/>
        </w:r>
      </w:p>
    </w:sdtContent>
  </w:sdt>
  <w:p w:rsidR="00F8250B" w:rsidRDefault="00F8250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47B" w:rsidRDefault="00BF647B">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AAB"/>
    <w:rsid w:val="001F79B3"/>
    <w:rsid w:val="002133C2"/>
    <w:rsid w:val="005A192D"/>
    <w:rsid w:val="00744BE0"/>
    <w:rsid w:val="007D2CC6"/>
    <w:rsid w:val="00874325"/>
    <w:rsid w:val="009C0AAB"/>
    <w:rsid w:val="00A25B72"/>
    <w:rsid w:val="00BF647B"/>
    <w:rsid w:val="00C31ACC"/>
    <w:rsid w:val="00CD7103"/>
    <w:rsid w:val="00F825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D2CC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D2CC6"/>
    <w:rPr>
      <w:rFonts w:ascii="Tahoma" w:hAnsi="Tahoma" w:cs="Tahoma"/>
      <w:sz w:val="16"/>
      <w:szCs w:val="16"/>
    </w:rPr>
  </w:style>
  <w:style w:type="paragraph" w:styleId="a5">
    <w:name w:val="header"/>
    <w:basedOn w:val="a"/>
    <w:link w:val="a6"/>
    <w:uiPriority w:val="99"/>
    <w:unhideWhenUsed/>
    <w:rsid w:val="00F8250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8250B"/>
  </w:style>
  <w:style w:type="paragraph" w:styleId="a7">
    <w:name w:val="footer"/>
    <w:basedOn w:val="a"/>
    <w:link w:val="a8"/>
    <w:uiPriority w:val="99"/>
    <w:unhideWhenUsed/>
    <w:rsid w:val="00F8250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825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D2CC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D2CC6"/>
    <w:rPr>
      <w:rFonts w:ascii="Tahoma" w:hAnsi="Tahoma" w:cs="Tahoma"/>
      <w:sz w:val="16"/>
      <w:szCs w:val="16"/>
    </w:rPr>
  </w:style>
  <w:style w:type="paragraph" w:styleId="a5">
    <w:name w:val="header"/>
    <w:basedOn w:val="a"/>
    <w:link w:val="a6"/>
    <w:uiPriority w:val="99"/>
    <w:unhideWhenUsed/>
    <w:rsid w:val="00F8250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8250B"/>
  </w:style>
  <w:style w:type="paragraph" w:styleId="a7">
    <w:name w:val="footer"/>
    <w:basedOn w:val="a"/>
    <w:link w:val="a8"/>
    <w:uiPriority w:val="99"/>
    <w:unhideWhenUsed/>
    <w:rsid w:val="00F8250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825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A2289D94D6B14D78720D45139019E3CF5D912611E4C9DFE5EC48BF2A84B547563EA9BA9ABF77B21F671235135B1262CD4BB5F09C9L3DEC" TargetMode="External"/><Relationship Id="rId13" Type="http://schemas.openxmlformats.org/officeDocument/2006/relationships/hyperlink" Target="consultantplus://offline/ref=AA2289D94D6B14D78720D45139019E3CF5D91A611B449DFE5EC48BF2A84B547571EAC3A5A9F46E74A62B745C37LBD5C" TargetMode="External"/><Relationship Id="rId18" Type="http://schemas.openxmlformats.org/officeDocument/2006/relationships/hyperlink" Target="consultantplus://offline/ref=AA2289D94D6B14D78720D45139019E3CF5D9146710489DFE5EC48BF2A84B547563EA9BA9A9F17076A73E220D71E1352DD0BB5C08D53D21B4LED0C"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consultantplus://offline/ref=AA2289D94D6B14D78720CA5C2F6DC030F7DA4D68184993A000908DA5F71B522023AA9DFCEAB57D74A735745833BF6C7C91F05009CE2120B7FF09922AL3D3C" TargetMode="External"/><Relationship Id="rId7" Type="http://schemas.openxmlformats.org/officeDocument/2006/relationships/hyperlink" Target="consultantplus://offline/ref=AA2289D94D6B14D78720D45139019E3CF5D91A611B449DFE5EC48BF2A84B547563EA9BA9A9F07370A13E220D71E1352DD0BB5C08D53D21B4LED0C" TargetMode="External"/><Relationship Id="rId12" Type="http://schemas.openxmlformats.org/officeDocument/2006/relationships/hyperlink" Target="consultantplus://offline/ref=AA2289D94D6B14D78720CA5C2F6DC030F7DA4D68184E91AE02988DA5F71B522023AA9DFCF8B52578A730685D34AA3A2DD7LAD4C" TargetMode="External"/><Relationship Id="rId17" Type="http://schemas.openxmlformats.org/officeDocument/2006/relationships/hyperlink" Target="consultantplus://offline/ref=AA2289D94D6B14D78720D45139019E3CF7D010621F4D9DFE5EC48BF2A84B547571EAC3A5A9F46E74A62B745C37LBD5C" TargetMode="External"/><Relationship Id="rId25" Type="http://schemas.openxmlformats.org/officeDocument/2006/relationships/hyperlink" Target="consultantplus://offline/ref=AA2289D94D6B14D78720CA5C2F6DC030F7DA4D68184D91AB07938DA5F71B522023AA9DFCF8B52578A730685D34AA3A2DD7LAD4C" TargetMode="External"/><Relationship Id="rId33"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consultantplus://offline/ref=AA2289D94D6B14D78720D45139019E3CF5D0116C1D4D9DFE5EC48BF2A84B547571EAC3A5A9F46E74A62B745C37LBD5C" TargetMode="External"/><Relationship Id="rId20" Type="http://schemas.openxmlformats.org/officeDocument/2006/relationships/hyperlink" Target="consultantplus://offline/ref=AA2289D94D6B14D78720D45139019E3CFFD716621847C0F4569D87F0AF440B6264A397A8A9F17175AC61271860B93828CBA45C17C93F23LBD7C" TargetMode="External"/><Relationship Id="rId29" Type="http://schemas.openxmlformats.org/officeDocument/2006/relationships/footer" Target="footer2.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AA2289D94D6B14D78720CA5C2F6DC030F7DA4D68184E9EA907998DA5F71B522023AA9DFCEAB57D74A735765D35BF6C7C91F05009CE2120B7FF09922AL3D3C" TargetMode="External"/><Relationship Id="rId24" Type="http://schemas.openxmlformats.org/officeDocument/2006/relationships/hyperlink" Target="consultantplus://offline/ref=AA2289D94D6B14D78720CA5C2F6DC030F7DA4D68184993A000908DA5F71B522023AA9DFCEAB57D74A73570583CBF6C7C91F05009CE2120B7FF09922AL3D3C"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consultantplus://offline/ref=AA2289D94D6B14D78720D45139019E3CF7D31A661A4B9DFE5EC48BF2A84B547571EAC3A5A9F46E74A62B745C37LBD5C" TargetMode="External"/><Relationship Id="rId23" Type="http://schemas.openxmlformats.org/officeDocument/2006/relationships/hyperlink" Target="consultantplus://offline/ref=AA2289D94D6B14D78720CA5C2F6DC030F7DA4D68184993A000908DA5F71B522023AA9DFCEAB57D74A735705D34BF6C7C91F05009CE2120B7FF09922AL3D3C" TargetMode="External"/><Relationship Id="rId28" Type="http://schemas.openxmlformats.org/officeDocument/2006/relationships/footer" Target="footer1.xml"/><Relationship Id="rId10" Type="http://schemas.openxmlformats.org/officeDocument/2006/relationships/hyperlink" Target="consultantplus://offline/ref=AA2289D94D6B14D78720CA5C2F6DC030F7DA4D68184D90AB02918DA5F71B522023AA9DFCEAB57D74A735765D34BF6C7C91F05009CE2120B7FF09922AL3D3C" TargetMode="External"/><Relationship Id="rId19" Type="http://schemas.openxmlformats.org/officeDocument/2006/relationships/hyperlink" Target="consultantplus://offline/ref=AA2289D94D6B14D78720D45139019E3CF5D11B651F459DFE5EC48BF2A84B547563EA9BA9A9F17075AF3E220D71E1352DD0BB5C08D53D21B4LED0C" TargetMode="External"/><Relationship Id="rId3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consultantplus://offline/ref=AA2289D94D6B14D78720D45139019E3CF5D912611E4C9DFE5EC48BF2A84B547563EA9BA9AEF27B21F671235135B1262CD4BB5F09C9L3DEC" TargetMode="External"/><Relationship Id="rId14" Type="http://schemas.openxmlformats.org/officeDocument/2006/relationships/hyperlink" Target="consultantplus://offline/ref=AA2289D94D6B14D78720D45139019E3CF7D410601A4A9DFE5EC48BF2A84B547571EAC3A5A9F46E74A62B745C37LBD5C" TargetMode="External"/><Relationship Id="rId22" Type="http://schemas.openxmlformats.org/officeDocument/2006/relationships/hyperlink" Target="consultantplus://offline/ref=AA2289D94D6B14D78720CA5C2F6DC030F7DA4D68184993A000908DA5F71B522023AA9DFCEAB57D74A734775F34BF6C7C91F05009CE2120B7FF09922AL3D3C" TargetMode="External"/><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4733</Words>
  <Characters>26980</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Михалева Н.В.</dc:creator>
  <cp:lastModifiedBy>Михалева Н.В.</cp:lastModifiedBy>
  <cp:revision>2</cp:revision>
  <cp:lastPrinted>2021-11-05T02:11:00Z</cp:lastPrinted>
  <dcterms:created xsi:type="dcterms:W3CDTF">2021-11-05T02:11:00Z</dcterms:created>
  <dcterms:modified xsi:type="dcterms:W3CDTF">2021-11-05T02:11:00Z</dcterms:modified>
</cp:coreProperties>
</file>